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084E" w14:textId="77777777" w:rsidR="00F7156E" w:rsidRDefault="00420A82" w:rsidP="0047660B">
      <w:pPr>
        <w:tabs>
          <w:tab w:val="left" w:pos="1701"/>
        </w:tabs>
        <w:ind w:right="170"/>
      </w:pPr>
      <w:r>
        <w:rPr>
          <w:noProof/>
          <w:lang w:eastAsia="el-GR"/>
        </w:rPr>
        <w:drawing>
          <wp:anchor distT="0" distB="0" distL="114300" distR="114300" simplePos="0" relativeHeight="251651072" behindDoc="0" locked="0" layoutInCell="1" allowOverlap="1" wp14:anchorId="54B2E5A9" wp14:editId="6E217622">
            <wp:simplePos x="0" y="0"/>
            <wp:positionH relativeFrom="column">
              <wp:posOffset>1128395</wp:posOffset>
            </wp:positionH>
            <wp:positionV relativeFrom="paragraph">
              <wp:posOffset>192405</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53404B23" w14:textId="77777777" w:rsidR="00C43528" w:rsidRPr="00314EBE" w:rsidRDefault="00F7156E" w:rsidP="0047660B">
      <w:pPr>
        <w:pStyle w:val="a4"/>
        <w:spacing w:before="94" w:line="249" w:lineRule="auto"/>
        <w:ind w:left="1783" w:right="170"/>
        <w:rPr>
          <w:lang w:val="el-GR"/>
        </w:rPr>
      </w:pPr>
      <w:r w:rsidRPr="00314EBE">
        <w:rPr>
          <w:lang w:val="el-GR"/>
        </w:rPr>
        <w:tab/>
      </w:r>
    </w:p>
    <w:p w14:paraId="648F5D65" w14:textId="77777777" w:rsidR="009B08ED" w:rsidRPr="0000239D" w:rsidRDefault="009B08ED" w:rsidP="0047660B">
      <w:pPr>
        <w:pStyle w:val="a4"/>
        <w:kinsoku w:val="0"/>
        <w:overflowPunct w:val="0"/>
        <w:spacing w:before="69"/>
        <w:ind w:left="1780" w:right="170"/>
        <w:rPr>
          <w:color w:val="231F20"/>
          <w:lang w:val="el-GR"/>
        </w:rPr>
      </w:pPr>
    </w:p>
    <w:p w14:paraId="6AFEEA2B" w14:textId="77777777" w:rsidR="009B08ED" w:rsidRPr="00D312BF" w:rsidRDefault="00871C34" w:rsidP="0047660B">
      <w:pPr>
        <w:pStyle w:val="1"/>
        <w:pBdr>
          <w:top w:val="single" w:sz="8" w:space="1" w:color="00B0F0"/>
          <w:bottom w:val="single" w:sz="8" w:space="1" w:color="00B0F0"/>
        </w:pBdr>
        <w:kinsoku w:val="0"/>
        <w:overflowPunct w:val="0"/>
        <w:ind w:left="1780" w:right="170"/>
        <w:rPr>
          <w:color w:val="63A1AA"/>
        </w:rPr>
      </w:pPr>
      <w:r w:rsidRPr="00545DD6">
        <w:rPr>
          <w:color w:val="63A1AA"/>
        </w:rPr>
        <w:t xml:space="preserve">Η Ανθεκτικότητα του Κατασκευαστικού Κλάδου και της Αγοράς Ακινήτων κατά τη Διάρκεια της Πανδημίας </w:t>
      </w:r>
      <w:r w:rsidRPr="001254E9">
        <w:rPr>
          <w:color w:val="63A1AA"/>
        </w:rPr>
        <w:t xml:space="preserve">και </w:t>
      </w:r>
      <w:r w:rsidR="00D06F15">
        <w:rPr>
          <w:color w:val="63A1AA"/>
        </w:rPr>
        <w:t>η</w:t>
      </w:r>
      <w:r w:rsidR="00D06F15" w:rsidRPr="001254E9">
        <w:rPr>
          <w:color w:val="63A1AA"/>
        </w:rPr>
        <w:t xml:space="preserve"> Προοπτι</w:t>
      </w:r>
      <w:r w:rsidR="00D06F15">
        <w:rPr>
          <w:color w:val="63A1AA"/>
        </w:rPr>
        <w:t>κή</w:t>
      </w:r>
      <w:r w:rsidR="00545DD6">
        <w:rPr>
          <w:color w:val="63A1AA"/>
        </w:rPr>
        <w:t xml:space="preserve"> του Ταμείου Ανάκαμψης</w:t>
      </w:r>
      <w:r w:rsidR="00C244D5" w:rsidRPr="001254E9">
        <w:rPr>
          <w:color w:val="63A1AA"/>
        </w:rPr>
        <w:t xml:space="preserve"> </w:t>
      </w:r>
    </w:p>
    <w:p w14:paraId="506A64D6" w14:textId="77777777" w:rsidR="009B08ED" w:rsidRDefault="009B08ED" w:rsidP="0047660B">
      <w:pPr>
        <w:pStyle w:val="a4"/>
        <w:spacing w:before="94" w:line="250" w:lineRule="auto"/>
        <w:ind w:left="1758" w:right="170"/>
        <w:jc w:val="both"/>
        <w:rPr>
          <w:lang w:val="el-GR"/>
        </w:rPr>
      </w:pPr>
    </w:p>
    <w:p w14:paraId="07FB19B1" w14:textId="77777777" w:rsidR="009C1669" w:rsidRDefault="00767A19" w:rsidP="00B06E6C">
      <w:pPr>
        <w:pStyle w:val="a4"/>
        <w:spacing w:line="250" w:lineRule="auto"/>
        <w:ind w:left="1758" w:right="227"/>
        <w:jc w:val="both"/>
        <w:rPr>
          <w:sz w:val="20"/>
          <w:lang w:val="el-GR"/>
        </w:rPr>
      </w:pPr>
      <w:r w:rsidRPr="008762EF">
        <w:rPr>
          <w:sz w:val="20"/>
          <w:lang w:val="el-GR"/>
        </w:rPr>
        <w:t xml:space="preserve">Ο </w:t>
      </w:r>
      <w:r w:rsidR="001D3E53" w:rsidRPr="008762EF">
        <w:rPr>
          <w:sz w:val="20"/>
          <w:lang w:val="el-GR"/>
        </w:rPr>
        <w:t xml:space="preserve">κατασκευαστικός </w:t>
      </w:r>
      <w:r w:rsidRPr="008762EF">
        <w:rPr>
          <w:sz w:val="20"/>
          <w:lang w:val="el-GR"/>
        </w:rPr>
        <w:t>κλάδος κατέγραψε έντονη κάμψη</w:t>
      </w:r>
      <w:r w:rsidR="00EF3E9F">
        <w:rPr>
          <w:sz w:val="20"/>
          <w:lang w:val="el-GR"/>
        </w:rPr>
        <w:t>,</w:t>
      </w:r>
      <w:r w:rsidRPr="008762EF">
        <w:rPr>
          <w:sz w:val="20"/>
          <w:lang w:val="el-GR"/>
        </w:rPr>
        <w:t xml:space="preserve"> κατά τη διάρκεια της οικονομικής κρίσης</w:t>
      </w:r>
      <w:r w:rsidR="004644EF" w:rsidRPr="008762EF">
        <w:rPr>
          <w:sz w:val="20"/>
          <w:lang w:val="el-GR"/>
        </w:rPr>
        <w:t xml:space="preserve"> της προηγούμενης δεκαετίας</w:t>
      </w:r>
      <w:r w:rsidRPr="008762EF">
        <w:rPr>
          <w:sz w:val="20"/>
          <w:lang w:val="el-GR"/>
        </w:rPr>
        <w:t xml:space="preserve"> </w:t>
      </w:r>
      <w:r w:rsidR="004644EF" w:rsidRPr="008762EF">
        <w:rPr>
          <w:sz w:val="20"/>
          <w:lang w:val="el-GR"/>
        </w:rPr>
        <w:t>στην Ελλάδα</w:t>
      </w:r>
      <w:r w:rsidR="00EF3E9F">
        <w:rPr>
          <w:sz w:val="20"/>
          <w:lang w:val="el-GR"/>
        </w:rPr>
        <w:t>,</w:t>
      </w:r>
      <w:r w:rsidR="00F108D1" w:rsidRPr="008762EF">
        <w:rPr>
          <w:sz w:val="20"/>
          <w:lang w:val="el-GR"/>
        </w:rPr>
        <w:t xml:space="preserve"> ενώ</w:t>
      </w:r>
      <w:r w:rsidR="00EF3E9F">
        <w:rPr>
          <w:sz w:val="20"/>
          <w:lang w:val="el-GR"/>
        </w:rPr>
        <w:t>,</w:t>
      </w:r>
      <w:r w:rsidR="00F108D1" w:rsidRPr="008762EF">
        <w:rPr>
          <w:sz w:val="20"/>
          <w:lang w:val="el-GR"/>
        </w:rPr>
        <w:t xml:space="preserve"> από το 2018</w:t>
      </w:r>
      <w:r w:rsidR="00620392" w:rsidRPr="008762EF">
        <w:rPr>
          <w:sz w:val="20"/>
          <w:lang w:val="el-GR"/>
        </w:rPr>
        <w:t xml:space="preserve"> και μετά</w:t>
      </w:r>
      <w:r w:rsidR="00F108D1" w:rsidRPr="008762EF">
        <w:rPr>
          <w:sz w:val="20"/>
          <w:lang w:val="el-GR"/>
        </w:rPr>
        <w:t>, παρουσιάζει</w:t>
      </w:r>
      <w:r w:rsidR="00965BF3" w:rsidRPr="008762EF">
        <w:rPr>
          <w:sz w:val="20"/>
          <w:lang w:val="el-GR"/>
        </w:rPr>
        <w:t xml:space="preserve"> σημάδια ανάκαμψης</w:t>
      </w:r>
      <w:r w:rsidR="00620392" w:rsidRPr="008762EF">
        <w:rPr>
          <w:sz w:val="20"/>
          <w:lang w:val="el-GR"/>
        </w:rPr>
        <w:t xml:space="preserve">, </w:t>
      </w:r>
      <w:r w:rsidR="00EF3E9F">
        <w:rPr>
          <w:sz w:val="20"/>
          <w:lang w:val="el-GR"/>
        </w:rPr>
        <w:t>κυρί</w:t>
      </w:r>
      <w:r w:rsidR="00EF3E9F" w:rsidRPr="001254E9">
        <w:rPr>
          <w:sz w:val="20"/>
          <w:lang w:val="el-GR"/>
        </w:rPr>
        <w:t>ως</w:t>
      </w:r>
      <w:r w:rsidR="00443328" w:rsidRPr="008762EF">
        <w:rPr>
          <w:sz w:val="20"/>
          <w:lang w:val="el-GR"/>
        </w:rPr>
        <w:t>,</w:t>
      </w:r>
      <w:r w:rsidR="00620392" w:rsidRPr="008762EF">
        <w:rPr>
          <w:sz w:val="20"/>
          <w:lang w:val="el-GR"/>
        </w:rPr>
        <w:t xml:space="preserve"> </w:t>
      </w:r>
      <w:r w:rsidR="00F108D1" w:rsidRPr="008762EF">
        <w:rPr>
          <w:sz w:val="20"/>
          <w:lang w:val="el-GR"/>
        </w:rPr>
        <w:t xml:space="preserve">όσον αφορά </w:t>
      </w:r>
      <w:r w:rsidR="00620392" w:rsidRPr="008762EF">
        <w:rPr>
          <w:sz w:val="20"/>
          <w:lang w:val="el-GR"/>
        </w:rPr>
        <w:t>σ</w:t>
      </w:r>
      <w:r w:rsidR="00F108D1" w:rsidRPr="008762EF">
        <w:rPr>
          <w:sz w:val="20"/>
          <w:lang w:val="el-GR"/>
        </w:rPr>
        <w:t xml:space="preserve">τις κατασκευές κατοικιών. </w:t>
      </w:r>
      <w:r w:rsidR="00A83D06">
        <w:rPr>
          <w:sz w:val="20"/>
          <w:lang w:val="el-GR"/>
        </w:rPr>
        <w:t>Παρά την πανδημική κρίση, η</w:t>
      </w:r>
      <w:r w:rsidR="00F108D1" w:rsidRPr="001254E9">
        <w:rPr>
          <w:sz w:val="20"/>
          <w:lang w:val="el-GR"/>
        </w:rPr>
        <w:t xml:space="preserve"> εν λόγω </w:t>
      </w:r>
      <w:r w:rsidR="00481F2C" w:rsidRPr="001254E9">
        <w:rPr>
          <w:sz w:val="20"/>
          <w:lang w:val="el-GR"/>
        </w:rPr>
        <w:t xml:space="preserve">αυξητική </w:t>
      </w:r>
      <w:r w:rsidR="00F108D1" w:rsidRPr="001254E9">
        <w:rPr>
          <w:sz w:val="20"/>
          <w:lang w:val="el-GR"/>
        </w:rPr>
        <w:t xml:space="preserve">τάση </w:t>
      </w:r>
      <w:r w:rsidR="00E0099A" w:rsidRPr="001254E9">
        <w:rPr>
          <w:sz w:val="20"/>
          <w:lang w:val="el-GR"/>
        </w:rPr>
        <w:t>συνεχίστηκε</w:t>
      </w:r>
      <w:r w:rsidR="00EF3E9F">
        <w:rPr>
          <w:sz w:val="20"/>
          <w:lang w:val="el-GR"/>
        </w:rPr>
        <w:t>,</w:t>
      </w:r>
      <w:r w:rsidR="00F108D1" w:rsidRPr="001254E9">
        <w:rPr>
          <w:sz w:val="20"/>
          <w:lang w:val="el-GR"/>
        </w:rPr>
        <w:t xml:space="preserve"> την περυσινή χρονιά, </w:t>
      </w:r>
      <w:r w:rsidR="00E0099A" w:rsidRPr="001254E9">
        <w:rPr>
          <w:sz w:val="20"/>
          <w:lang w:val="el-GR"/>
        </w:rPr>
        <w:t>έχοντας απωλέσει</w:t>
      </w:r>
      <w:r w:rsidR="00EF3E9F">
        <w:rPr>
          <w:sz w:val="20"/>
          <w:lang w:val="el-GR"/>
        </w:rPr>
        <w:t>,</w:t>
      </w:r>
      <w:r w:rsidR="00E0099A" w:rsidRPr="001254E9">
        <w:rPr>
          <w:sz w:val="20"/>
          <w:lang w:val="el-GR"/>
        </w:rPr>
        <w:t xml:space="preserve"> </w:t>
      </w:r>
      <w:r w:rsidR="00545DD6">
        <w:rPr>
          <w:sz w:val="20"/>
          <w:lang w:val="el-GR"/>
        </w:rPr>
        <w:t xml:space="preserve">μόνο </w:t>
      </w:r>
      <w:r w:rsidR="00E0099A" w:rsidRPr="001254E9">
        <w:rPr>
          <w:sz w:val="20"/>
          <w:lang w:val="el-GR"/>
        </w:rPr>
        <w:t>σε μικρό βαθμό</w:t>
      </w:r>
      <w:r w:rsidR="00EF3E9F">
        <w:rPr>
          <w:sz w:val="20"/>
          <w:lang w:val="el-GR"/>
        </w:rPr>
        <w:t>,</w:t>
      </w:r>
      <w:r w:rsidR="00E0099A" w:rsidRPr="001254E9">
        <w:rPr>
          <w:sz w:val="20"/>
          <w:lang w:val="el-GR"/>
        </w:rPr>
        <w:t xml:space="preserve"> τη </w:t>
      </w:r>
      <w:r w:rsidR="00481F2C" w:rsidRPr="001254E9">
        <w:rPr>
          <w:sz w:val="20"/>
          <w:lang w:val="el-GR"/>
        </w:rPr>
        <w:t>δυναμική της</w:t>
      </w:r>
      <w:r w:rsidR="00F108D1" w:rsidRPr="001254E9">
        <w:rPr>
          <w:sz w:val="20"/>
          <w:lang w:val="el-GR"/>
        </w:rPr>
        <w:t>.</w:t>
      </w:r>
      <w:r w:rsidR="00F108D1" w:rsidRPr="008762EF">
        <w:rPr>
          <w:sz w:val="20"/>
          <w:lang w:val="el-GR"/>
        </w:rPr>
        <w:t xml:space="preserve"> </w:t>
      </w:r>
      <w:r w:rsidR="00D06F15">
        <w:rPr>
          <w:sz w:val="20"/>
          <w:lang w:val="el-GR"/>
        </w:rPr>
        <w:t>Έτσι</w:t>
      </w:r>
      <w:r w:rsidR="00054B49">
        <w:rPr>
          <w:sz w:val="20"/>
          <w:lang w:val="el-GR"/>
        </w:rPr>
        <w:t xml:space="preserve">, </w:t>
      </w:r>
      <w:r w:rsidR="00EF3E9F">
        <w:rPr>
          <w:sz w:val="20"/>
          <w:lang w:val="el-GR"/>
        </w:rPr>
        <w:t xml:space="preserve">αφενός </w:t>
      </w:r>
      <w:r w:rsidR="00054B49">
        <w:rPr>
          <w:sz w:val="20"/>
          <w:lang w:val="el-GR"/>
        </w:rPr>
        <w:t>η</w:t>
      </w:r>
      <w:r w:rsidR="00F03A09">
        <w:rPr>
          <w:sz w:val="20"/>
          <w:lang w:val="el-GR"/>
        </w:rPr>
        <w:t xml:space="preserve"> άνοδος των </w:t>
      </w:r>
      <w:r w:rsidR="00054B49">
        <w:rPr>
          <w:sz w:val="20"/>
          <w:lang w:val="el-GR"/>
        </w:rPr>
        <w:t xml:space="preserve">δημοσίων </w:t>
      </w:r>
      <w:r w:rsidR="00F03A09">
        <w:rPr>
          <w:sz w:val="20"/>
          <w:lang w:val="el-GR"/>
        </w:rPr>
        <w:t xml:space="preserve">επενδύσεων </w:t>
      </w:r>
      <w:r w:rsidR="00054B49">
        <w:rPr>
          <w:sz w:val="20"/>
          <w:lang w:val="el-GR"/>
        </w:rPr>
        <w:t xml:space="preserve">και αφετέρου η </w:t>
      </w:r>
      <w:r w:rsidR="00054B49" w:rsidRPr="003C0A64">
        <w:rPr>
          <w:sz w:val="20"/>
          <w:lang w:val="el-GR"/>
        </w:rPr>
        <w:t>ισχυρή</w:t>
      </w:r>
      <w:r w:rsidR="00054B49">
        <w:rPr>
          <w:sz w:val="20"/>
          <w:lang w:val="el-GR"/>
        </w:rPr>
        <w:t xml:space="preserve"> </w:t>
      </w:r>
      <w:r w:rsidR="00054B49" w:rsidRPr="003C0A64">
        <w:rPr>
          <w:sz w:val="20"/>
          <w:lang w:val="el-GR"/>
        </w:rPr>
        <w:t xml:space="preserve">κατασκευαστική δραστηριότητα, η οποία </w:t>
      </w:r>
      <w:r w:rsidR="00054B49">
        <w:rPr>
          <w:sz w:val="20"/>
          <w:lang w:val="el-GR"/>
        </w:rPr>
        <w:t>επηρεάστηκε</w:t>
      </w:r>
      <w:r w:rsidR="008A3349" w:rsidRPr="008A3349">
        <w:rPr>
          <w:sz w:val="20"/>
          <w:lang w:val="el-GR"/>
        </w:rPr>
        <w:t xml:space="preserve"> </w:t>
      </w:r>
      <w:r w:rsidR="008A3349">
        <w:rPr>
          <w:sz w:val="20"/>
          <w:lang w:val="el-GR"/>
        </w:rPr>
        <w:t>από τα περιοριστικά μέτρα (</w:t>
      </w:r>
      <w:r w:rsidR="008A3349">
        <w:rPr>
          <w:sz w:val="20"/>
        </w:rPr>
        <w:t>lockdown</w:t>
      </w:r>
      <w:r w:rsidR="008A3349">
        <w:rPr>
          <w:sz w:val="20"/>
          <w:lang w:val="el-GR"/>
        </w:rPr>
        <w:t>)</w:t>
      </w:r>
      <w:r w:rsidR="00054B49">
        <w:rPr>
          <w:sz w:val="20"/>
          <w:lang w:val="el-GR"/>
        </w:rPr>
        <w:t xml:space="preserve">, σε </w:t>
      </w:r>
      <w:r w:rsidR="00054B49" w:rsidRPr="00770F3E">
        <w:rPr>
          <w:sz w:val="20"/>
          <w:lang w:val="el-GR"/>
        </w:rPr>
        <w:t>μικρότερο</w:t>
      </w:r>
      <w:r w:rsidR="00054B49">
        <w:rPr>
          <w:sz w:val="20"/>
          <w:lang w:val="el-GR"/>
        </w:rPr>
        <w:t xml:space="preserve"> βαθμό,</w:t>
      </w:r>
      <w:r w:rsidR="008A3349">
        <w:rPr>
          <w:sz w:val="20"/>
          <w:lang w:val="el-GR"/>
        </w:rPr>
        <w:t xml:space="preserve"> σε σύγκριση με άλλους κλάδους</w:t>
      </w:r>
      <w:r w:rsidR="00880AD5">
        <w:rPr>
          <w:sz w:val="20"/>
          <w:lang w:val="el-GR"/>
        </w:rPr>
        <w:t>,</w:t>
      </w:r>
      <w:r w:rsidR="00054B49">
        <w:rPr>
          <w:sz w:val="20"/>
          <w:lang w:val="el-GR"/>
        </w:rPr>
        <w:t xml:space="preserve"> </w:t>
      </w:r>
      <w:r w:rsidR="00F03A09">
        <w:rPr>
          <w:sz w:val="20"/>
          <w:lang w:val="el-GR"/>
        </w:rPr>
        <w:t>αντιστάθμισ</w:t>
      </w:r>
      <w:r w:rsidR="00EF3E9F">
        <w:rPr>
          <w:sz w:val="20"/>
          <w:lang w:val="el-GR"/>
        </w:rPr>
        <w:t>αν</w:t>
      </w:r>
      <w:r w:rsidR="00F03A09">
        <w:rPr>
          <w:sz w:val="20"/>
          <w:lang w:val="el-GR"/>
        </w:rPr>
        <w:t>, εν μέρει, την πτώση των επενδύσεων σε μεταφορικό εξοπλισμό αλλά και των λοιπών επενδύσεων</w:t>
      </w:r>
      <w:r w:rsidR="00054B49">
        <w:rPr>
          <w:sz w:val="20"/>
          <w:lang w:val="el-GR"/>
        </w:rPr>
        <w:t xml:space="preserve">. Ως </w:t>
      </w:r>
      <w:r w:rsidR="00F03A09">
        <w:rPr>
          <w:sz w:val="20"/>
          <w:lang w:val="el-GR"/>
        </w:rPr>
        <w:t xml:space="preserve">αποτέλεσμα, το 2020, εν μέσω της πανδημικής κρίσης, οι συνολικές </w:t>
      </w:r>
      <w:r w:rsidR="00D06F15">
        <w:rPr>
          <w:sz w:val="20"/>
          <w:lang w:val="el-GR"/>
        </w:rPr>
        <w:t xml:space="preserve">επενδύσεις </w:t>
      </w:r>
      <w:r w:rsidR="008314BE">
        <w:rPr>
          <w:sz w:val="20"/>
          <w:lang w:val="el-GR"/>
        </w:rPr>
        <w:t>μειώθηκαν</w:t>
      </w:r>
      <w:r w:rsidR="00EF3E9F">
        <w:rPr>
          <w:sz w:val="20"/>
          <w:lang w:val="el-GR"/>
        </w:rPr>
        <w:t>,</w:t>
      </w:r>
      <w:r w:rsidR="00F03A09">
        <w:rPr>
          <w:sz w:val="20"/>
          <w:lang w:val="el-GR"/>
        </w:rPr>
        <w:t xml:space="preserve"> μόνο οριακά, σε ετήσια βάση (-0,6%). Συγκεκριμένα, οι επενδύσεις σε κατοικίες αυξήθηκαν</w:t>
      </w:r>
      <w:r w:rsidR="00EF3E9F">
        <w:rPr>
          <w:sz w:val="20"/>
          <w:lang w:val="el-GR"/>
        </w:rPr>
        <w:t>,</w:t>
      </w:r>
      <w:r w:rsidR="00F03A09">
        <w:rPr>
          <w:sz w:val="20"/>
          <w:lang w:val="el-GR"/>
        </w:rPr>
        <w:t xml:space="preserve"> το 2020</w:t>
      </w:r>
      <w:r w:rsidR="00EF3E9F">
        <w:rPr>
          <w:sz w:val="20"/>
          <w:lang w:val="el-GR"/>
        </w:rPr>
        <w:t>,</w:t>
      </w:r>
      <w:r w:rsidR="00F03A09">
        <w:rPr>
          <w:sz w:val="20"/>
          <w:lang w:val="el-GR"/>
        </w:rPr>
        <w:t xml:space="preserve"> κατά 15,6%, σε ετήσια βάση, έναντι οριακής ανόδου, ύψους 0,4%, το 2019. Επιπλέον, οι επενδύσεις στις λοιπές κατασκευές που περιλαμβάνουν τα μεγάλα έργα σημείωσαν άνοδο</w:t>
      </w:r>
      <w:r w:rsidR="00EF3E9F">
        <w:rPr>
          <w:sz w:val="20"/>
          <w:lang w:val="el-GR"/>
        </w:rPr>
        <w:t>,</w:t>
      </w:r>
      <w:r w:rsidR="00F03A09">
        <w:rPr>
          <w:sz w:val="20"/>
          <w:lang w:val="el-GR"/>
        </w:rPr>
        <w:t xml:space="preserve"> το 2020, σε σύγκριση με το 2019, κατά 9,2%, ενώ</w:t>
      </w:r>
      <w:r w:rsidR="00EF3E9F">
        <w:rPr>
          <w:sz w:val="20"/>
          <w:lang w:val="el-GR"/>
        </w:rPr>
        <w:t>,</w:t>
      </w:r>
      <w:r w:rsidR="00F03A09">
        <w:rPr>
          <w:sz w:val="20"/>
          <w:lang w:val="el-GR"/>
        </w:rPr>
        <w:t xml:space="preserve"> το προηγούμενο έτος</w:t>
      </w:r>
      <w:r w:rsidR="00EF3E9F">
        <w:rPr>
          <w:sz w:val="20"/>
          <w:lang w:val="el-GR"/>
        </w:rPr>
        <w:t>,</w:t>
      </w:r>
      <w:r w:rsidR="00F03A09">
        <w:rPr>
          <w:sz w:val="20"/>
          <w:lang w:val="el-GR"/>
        </w:rPr>
        <w:t xml:space="preserve"> είχαν μειωθεί σημαντικά, κατά 25,2%, σε ετήσια βάση.</w:t>
      </w:r>
      <w:r w:rsidR="006D69A1">
        <w:rPr>
          <w:sz w:val="20"/>
          <w:lang w:val="el-GR"/>
        </w:rPr>
        <w:t xml:space="preserve"> Παρά την ανοδική πορεία των </w:t>
      </w:r>
      <w:r w:rsidR="006D69A1">
        <w:rPr>
          <w:i/>
          <w:sz w:val="20"/>
          <w:lang w:val="el-GR"/>
        </w:rPr>
        <w:t>επενδύσεων σε κατοικίες</w:t>
      </w:r>
      <w:r w:rsidR="00EF3E9F">
        <w:rPr>
          <w:i/>
          <w:sz w:val="20"/>
          <w:lang w:val="el-GR"/>
        </w:rPr>
        <w:t>,</w:t>
      </w:r>
      <w:r w:rsidR="006D69A1">
        <w:rPr>
          <w:i/>
          <w:sz w:val="20"/>
          <w:lang w:val="el-GR"/>
        </w:rPr>
        <w:t xml:space="preserve"> </w:t>
      </w:r>
      <w:r w:rsidR="006D69A1" w:rsidRPr="00192118">
        <w:rPr>
          <w:i/>
          <w:sz w:val="20"/>
          <w:lang w:val="el-GR"/>
        </w:rPr>
        <w:t>για τρίτη συνεχόμενη χρονιά</w:t>
      </w:r>
      <w:r w:rsidR="006D69A1">
        <w:rPr>
          <w:sz w:val="20"/>
          <w:lang w:val="el-GR"/>
        </w:rPr>
        <w:t xml:space="preserve">, αυτές </w:t>
      </w:r>
      <w:r w:rsidR="006D69A1" w:rsidRPr="00C27AB6">
        <w:rPr>
          <w:sz w:val="20"/>
          <w:lang w:val="el-GR"/>
        </w:rPr>
        <w:t xml:space="preserve">παραμένουν </w:t>
      </w:r>
      <w:r w:rsidR="006D69A1">
        <w:rPr>
          <w:sz w:val="20"/>
          <w:lang w:val="el-GR"/>
        </w:rPr>
        <w:t xml:space="preserve">σε πολύ </w:t>
      </w:r>
      <w:r w:rsidR="006D69A1" w:rsidRPr="00C27AB6">
        <w:rPr>
          <w:sz w:val="20"/>
          <w:lang w:val="el-GR"/>
        </w:rPr>
        <w:t>χαμηλό</w:t>
      </w:r>
      <w:r w:rsidR="006D69A1">
        <w:rPr>
          <w:sz w:val="20"/>
          <w:lang w:val="el-GR"/>
        </w:rPr>
        <w:t>τερο</w:t>
      </w:r>
      <w:r w:rsidR="006D69A1" w:rsidRPr="00C27AB6">
        <w:rPr>
          <w:sz w:val="20"/>
          <w:lang w:val="el-GR"/>
        </w:rPr>
        <w:t xml:space="preserve"> ποσοστό του ΑΕΠ (1%)</w:t>
      </w:r>
      <w:r w:rsidR="00EF3E9F">
        <w:rPr>
          <w:sz w:val="20"/>
          <w:lang w:val="el-GR"/>
        </w:rPr>
        <w:t>,</w:t>
      </w:r>
      <w:r w:rsidR="006D69A1">
        <w:rPr>
          <w:sz w:val="20"/>
          <w:lang w:val="el-GR"/>
        </w:rPr>
        <w:t xml:space="preserve"> σε σχέση με το παρελθόν</w:t>
      </w:r>
      <w:r w:rsidR="00EF3E9F">
        <w:rPr>
          <w:sz w:val="20"/>
          <w:lang w:val="el-GR"/>
        </w:rPr>
        <w:t>,</w:t>
      </w:r>
      <w:r w:rsidR="006D69A1">
        <w:rPr>
          <w:sz w:val="20"/>
          <w:lang w:val="el-GR"/>
        </w:rPr>
        <w:t xml:space="preserve"> όπως παρατηρείται στο Γράφημα 1. </w:t>
      </w:r>
    </w:p>
    <w:p w14:paraId="4264067B" w14:textId="77777777" w:rsidR="009C1669" w:rsidRDefault="009C1669" w:rsidP="00B06E6C">
      <w:pPr>
        <w:pStyle w:val="a4"/>
        <w:spacing w:line="250" w:lineRule="auto"/>
        <w:ind w:left="1758" w:right="227"/>
        <w:jc w:val="both"/>
        <w:rPr>
          <w:sz w:val="20"/>
          <w:lang w:val="el-GR"/>
        </w:rPr>
      </w:pPr>
    </w:p>
    <w:p w14:paraId="1CAB5144" w14:textId="6ADD2F14" w:rsidR="00F108D1" w:rsidRDefault="00054B49" w:rsidP="00B06E6C">
      <w:pPr>
        <w:pStyle w:val="a4"/>
        <w:spacing w:line="250" w:lineRule="auto"/>
        <w:ind w:left="1758" w:right="227"/>
        <w:jc w:val="both"/>
        <w:rPr>
          <w:sz w:val="20"/>
          <w:lang w:val="el-GR"/>
        </w:rPr>
      </w:pPr>
      <w:r>
        <w:rPr>
          <w:sz w:val="20"/>
          <w:lang w:val="el-GR"/>
        </w:rPr>
        <w:t>Οι</w:t>
      </w:r>
      <w:r w:rsidR="008314BE">
        <w:rPr>
          <w:sz w:val="20"/>
          <w:lang w:val="el-GR"/>
        </w:rPr>
        <w:t xml:space="preserve"> ανωτέρω</w:t>
      </w:r>
      <w:r>
        <w:rPr>
          <w:sz w:val="20"/>
          <w:lang w:val="el-GR"/>
        </w:rPr>
        <w:t xml:space="preserve"> εξελίξεις αντανακλώνται στην πορεία </w:t>
      </w:r>
      <w:r w:rsidR="006D69A1">
        <w:rPr>
          <w:sz w:val="20"/>
          <w:lang w:val="el-GR"/>
        </w:rPr>
        <w:t xml:space="preserve">και άλλων </w:t>
      </w:r>
      <w:r w:rsidR="00DE7099" w:rsidRPr="008762EF">
        <w:rPr>
          <w:sz w:val="20"/>
          <w:lang w:val="el-GR"/>
        </w:rPr>
        <w:t>σχετ</w:t>
      </w:r>
      <w:r w:rsidR="002F50AD" w:rsidRPr="008762EF">
        <w:rPr>
          <w:sz w:val="20"/>
          <w:lang w:val="el-GR"/>
        </w:rPr>
        <w:t>ι</w:t>
      </w:r>
      <w:r w:rsidR="00DE7099" w:rsidRPr="008762EF">
        <w:rPr>
          <w:sz w:val="20"/>
          <w:lang w:val="el-GR"/>
        </w:rPr>
        <w:t xml:space="preserve">κών δεικτών </w:t>
      </w:r>
      <w:r w:rsidR="006D69A1">
        <w:rPr>
          <w:sz w:val="20"/>
          <w:lang w:val="el-GR"/>
        </w:rPr>
        <w:t xml:space="preserve">της </w:t>
      </w:r>
      <w:r w:rsidR="00C27AB6" w:rsidRPr="008762EF">
        <w:rPr>
          <w:sz w:val="20"/>
          <w:lang w:val="el-GR"/>
        </w:rPr>
        <w:t xml:space="preserve">οικονομικής </w:t>
      </w:r>
      <w:r w:rsidR="00620392" w:rsidRPr="008762EF">
        <w:rPr>
          <w:sz w:val="20"/>
          <w:lang w:val="el-GR"/>
        </w:rPr>
        <w:t>συγκυρίας</w:t>
      </w:r>
      <w:r w:rsidR="008314BE">
        <w:rPr>
          <w:sz w:val="20"/>
          <w:lang w:val="el-GR"/>
        </w:rPr>
        <w:t>,</w:t>
      </w:r>
      <w:r w:rsidR="006D69A1">
        <w:rPr>
          <w:sz w:val="20"/>
          <w:lang w:val="el-GR"/>
        </w:rPr>
        <w:t xml:space="preserve"> καθώς</w:t>
      </w:r>
      <w:r w:rsidR="00620392" w:rsidRPr="008762EF">
        <w:rPr>
          <w:sz w:val="20"/>
          <w:lang w:val="el-GR"/>
        </w:rPr>
        <w:t xml:space="preserve"> και </w:t>
      </w:r>
      <w:r w:rsidR="006D69A1">
        <w:rPr>
          <w:sz w:val="20"/>
          <w:lang w:val="el-GR"/>
        </w:rPr>
        <w:t xml:space="preserve">των </w:t>
      </w:r>
      <w:r w:rsidR="00620392" w:rsidRPr="008762EF">
        <w:rPr>
          <w:sz w:val="20"/>
          <w:lang w:val="el-GR"/>
        </w:rPr>
        <w:t>επιχειρηματικών προσδοκιών</w:t>
      </w:r>
      <w:r w:rsidR="00F108D1" w:rsidRPr="008762EF">
        <w:rPr>
          <w:sz w:val="20"/>
          <w:lang w:val="el-GR"/>
        </w:rPr>
        <w:t xml:space="preserve"> </w:t>
      </w:r>
      <w:r w:rsidR="00620392" w:rsidRPr="008762EF">
        <w:rPr>
          <w:sz w:val="20"/>
          <w:lang w:val="el-GR"/>
        </w:rPr>
        <w:t>που</w:t>
      </w:r>
      <w:r w:rsidR="00F108D1" w:rsidRPr="008762EF">
        <w:rPr>
          <w:sz w:val="20"/>
          <w:lang w:val="el-GR"/>
        </w:rPr>
        <w:t xml:space="preserve"> αναλ</w:t>
      </w:r>
      <w:r w:rsidR="00620392" w:rsidRPr="008762EF">
        <w:rPr>
          <w:sz w:val="20"/>
          <w:lang w:val="el-GR"/>
        </w:rPr>
        <w:t>ύονται</w:t>
      </w:r>
      <w:r w:rsidR="00F108D1" w:rsidRPr="008762EF">
        <w:rPr>
          <w:sz w:val="20"/>
          <w:lang w:val="el-GR"/>
        </w:rPr>
        <w:t xml:space="preserve"> στο παρόν Δελτίο, ως εξής:</w:t>
      </w:r>
    </w:p>
    <w:p w14:paraId="73596A47" w14:textId="77777777" w:rsidR="00C27AB6" w:rsidRPr="00C27AB6" w:rsidRDefault="00C27AB6" w:rsidP="00B06E6C">
      <w:pPr>
        <w:pStyle w:val="a4"/>
        <w:spacing w:line="250" w:lineRule="auto"/>
        <w:ind w:left="1758" w:right="227"/>
        <w:jc w:val="both"/>
        <w:rPr>
          <w:sz w:val="20"/>
          <w:lang w:val="el-GR"/>
        </w:rPr>
      </w:pPr>
    </w:p>
    <w:p w14:paraId="17B9D546" w14:textId="1638B016" w:rsidR="00F92F1F" w:rsidRPr="00F92F1F" w:rsidRDefault="00C27AB6" w:rsidP="00B06E6C">
      <w:pPr>
        <w:pStyle w:val="a4"/>
        <w:numPr>
          <w:ilvl w:val="0"/>
          <w:numId w:val="5"/>
        </w:numPr>
        <w:spacing w:line="250" w:lineRule="auto"/>
        <w:ind w:right="227"/>
        <w:jc w:val="both"/>
        <w:rPr>
          <w:sz w:val="20"/>
          <w:lang w:val="el-GR"/>
        </w:rPr>
      </w:pPr>
      <w:r w:rsidRPr="00F92F1F">
        <w:rPr>
          <w:sz w:val="20"/>
          <w:lang w:val="el-GR"/>
        </w:rPr>
        <w:t>Στη σημαντική</w:t>
      </w:r>
      <w:r w:rsidRPr="00F92F1F">
        <w:rPr>
          <w:i/>
          <w:sz w:val="20"/>
          <w:lang w:val="el-GR"/>
        </w:rPr>
        <w:t xml:space="preserve"> άνοδο του παραγόμενου προϊόντος του κλάδου</w:t>
      </w:r>
      <w:r w:rsidRPr="00F92F1F">
        <w:rPr>
          <w:sz w:val="20"/>
          <w:lang w:val="el-GR"/>
        </w:rPr>
        <w:t xml:space="preserve">, η οποία, ωστόσο, είχε οριακή θετική συμβολή </w:t>
      </w:r>
      <w:r w:rsidR="00A655B3" w:rsidRPr="00F92F1F">
        <w:rPr>
          <w:sz w:val="20"/>
          <w:lang w:val="el-GR"/>
        </w:rPr>
        <w:t xml:space="preserve">(0,2 ποσοστιαίες μονάδες) </w:t>
      </w:r>
      <w:r w:rsidRPr="00F92F1F">
        <w:rPr>
          <w:sz w:val="20"/>
          <w:lang w:val="el-GR"/>
        </w:rPr>
        <w:t xml:space="preserve">στη μεταβολή της </w:t>
      </w:r>
      <w:r w:rsidR="00A655B3" w:rsidRPr="00F92F1F">
        <w:rPr>
          <w:sz w:val="20"/>
          <w:lang w:val="el-GR"/>
        </w:rPr>
        <w:t>Ακαθάριστης Προστιθέμενης Αξίας (ΑΠΑ)</w:t>
      </w:r>
      <w:r w:rsidRPr="00F92F1F">
        <w:rPr>
          <w:sz w:val="20"/>
          <w:lang w:val="el-GR"/>
        </w:rPr>
        <w:t>, καθώς</w:t>
      </w:r>
      <w:r>
        <w:rPr>
          <w:sz w:val="20"/>
          <w:lang w:val="el-GR"/>
        </w:rPr>
        <w:t xml:space="preserve"> </w:t>
      </w:r>
    </w:p>
    <w:p w14:paraId="1D5AD171" w14:textId="77777777" w:rsidR="009B08ED" w:rsidRPr="00C6016D" w:rsidRDefault="00B14DB5" w:rsidP="00A47D70">
      <w:pPr>
        <w:tabs>
          <w:tab w:val="left" w:pos="2167"/>
          <w:tab w:val="left" w:pos="6405"/>
        </w:tabs>
        <w:ind w:right="170"/>
      </w:pPr>
      <w:r>
        <w:rPr>
          <w:noProof/>
          <w:lang w:eastAsia="el-GR"/>
        </w:rPr>
        <mc:AlternateContent>
          <mc:Choice Requires="wpg">
            <w:drawing>
              <wp:anchor distT="0" distB="0" distL="114300" distR="114300" simplePos="0" relativeHeight="251652096" behindDoc="1" locked="0" layoutInCell="1" allowOverlap="1" wp14:anchorId="14BDEC37" wp14:editId="551BC92E">
                <wp:simplePos x="0" y="0"/>
                <wp:positionH relativeFrom="column">
                  <wp:posOffset>0</wp:posOffset>
                </wp:positionH>
                <wp:positionV relativeFrom="paragraph">
                  <wp:posOffset>9838</wp:posOffset>
                </wp:positionV>
                <wp:extent cx="7199630" cy="3239770"/>
                <wp:effectExtent l="0" t="0" r="1270" b="0"/>
                <wp:wrapNone/>
                <wp:docPr id="20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39770"/>
                          <a:chOff x="0" y="0"/>
                          <a:chExt cx="71804" cy="26289"/>
                        </a:xfrm>
                      </wpg:grpSpPr>
                      <wps:wsp>
                        <wps:cNvPr id="20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EE8BC" w14:textId="77777777" w:rsidR="00C27AB6" w:rsidRPr="00E13B17" w:rsidRDefault="00C27AB6" w:rsidP="009B08ED">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1</w:t>
                              </w:r>
                            </w:p>
                            <w:p w14:paraId="73B37060" w14:textId="77777777" w:rsidR="00C27AB6" w:rsidRPr="00E13B17" w:rsidRDefault="00C27AB6" w:rsidP="009B08ED">
                              <w:pPr>
                                <w:jc w:val="center"/>
                                <w:rPr>
                                  <w:rFonts w:ascii="Arial" w:hAnsi="Arial" w:cs="Arial"/>
                                  <w:color w:val="E24C37"/>
                                  <w:spacing w:val="-4"/>
                                  <w:sz w:val="18"/>
                                  <w:lang w:val="en-US"/>
                                </w:rPr>
                              </w:pPr>
                            </w:p>
                            <w:p w14:paraId="45EB0B49" w14:textId="77777777" w:rsidR="00C27AB6" w:rsidRPr="00E13B17" w:rsidRDefault="00C27AB6" w:rsidP="009B08ED">
                              <w:pPr>
                                <w:jc w:val="center"/>
                                <w:rPr>
                                  <w:rFonts w:ascii="Arial" w:hAnsi="Arial" w:cs="Arial"/>
                                  <w:color w:val="E24C37"/>
                                  <w:spacing w:val="-4"/>
                                  <w:sz w:val="18"/>
                                  <w:lang w:val="en-US"/>
                                </w:rPr>
                              </w:pPr>
                            </w:p>
                            <w:p w14:paraId="651CC576" w14:textId="77777777" w:rsidR="00C27AB6" w:rsidRPr="00E13B17" w:rsidRDefault="00C27AB6" w:rsidP="009B08ED">
                              <w:pPr>
                                <w:jc w:val="center"/>
                                <w:rPr>
                                  <w:rFonts w:ascii="Arial" w:hAnsi="Arial" w:cs="Arial"/>
                                  <w:color w:val="E24C37"/>
                                  <w:spacing w:val="-4"/>
                                  <w:sz w:val="18"/>
                                  <w:lang w:val="en-US"/>
                                </w:rPr>
                              </w:pPr>
                            </w:p>
                            <w:p w14:paraId="1BD026D2" w14:textId="77777777" w:rsidR="00C27AB6" w:rsidRPr="00E13B17" w:rsidRDefault="00C27AB6" w:rsidP="009B08ED">
                              <w:pPr>
                                <w:jc w:val="center"/>
                                <w:rPr>
                                  <w:rFonts w:ascii="Arial" w:hAnsi="Arial" w:cs="Arial"/>
                                  <w:color w:val="E24C37"/>
                                  <w:spacing w:val="-4"/>
                                  <w:sz w:val="18"/>
                                  <w:lang w:val="en-US"/>
                                </w:rPr>
                              </w:pPr>
                            </w:p>
                            <w:p w14:paraId="1B6E0FCC" w14:textId="77777777" w:rsidR="00C27AB6" w:rsidRPr="00E13B17" w:rsidRDefault="00C27AB6" w:rsidP="009B08ED">
                              <w:pPr>
                                <w:jc w:val="center"/>
                                <w:rPr>
                                  <w:rFonts w:ascii="Arial" w:hAnsi="Arial" w:cs="Arial"/>
                                  <w:color w:val="E24C37"/>
                                  <w:spacing w:val="-4"/>
                                  <w:sz w:val="18"/>
                                  <w:lang w:val="en-US"/>
                                </w:rPr>
                              </w:pPr>
                            </w:p>
                            <w:p w14:paraId="6860BFDA" w14:textId="77777777" w:rsidR="00C27AB6" w:rsidRPr="00E13B17" w:rsidRDefault="00C27AB6" w:rsidP="009B08ED">
                              <w:pPr>
                                <w:jc w:val="center"/>
                                <w:rPr>
                                  <w:rFonts w:ascii="Arial" w:hAnsi="Arial" w:cs="Arial"/>
                                  <w:color w:val="E24C37"/>
                                  <w:spacing w:val="-4"/>
                                  <w:sz w:val="18"/>
                                  <w:lang w:val="en-US"/>
                                </w:rPr>
                              </w:pPr>
                            </w:p>
                            <w:p w14:paraId="62ACF79E" w14:textId="77777777" w:rsidR="00C27AB6" w:rsidRPr="00E13B17" w:rsidRDefault="00C27AB6" w:rsidP="009B08ED">
                              <w:pPr>
                                <w:jc w:val="center"/>
                                <w:rPr>
                                  <w:rFonts w:ascii="Arial" w:hAnsi="Arial" w:cs="Arial"/>
                                  <w:color w:val="E24C37"/>
                                  <w:spacing w:val="-4"/>
                                  <w:sz w:val="18"/>
                                  <w:lang w:val="en-US"/>
                                </w:rPr>
                              </w:pPr>
                            </w:p>
                            <w:p w14:paraId="20A4580B" w14:textId="77777777" w:rsidR="00C27AB6" w:rsidRDefault="00C27AB6" w:rsidP="009B08ED">
                              <w:pPr>
                                <w:jc w:val="center"/>
                                <w:rPr>
                                  <w:rFonts w:ascii="Arial" w:hAnsi="Arial" w:cs="Arial"/>
                                  <w:color w:val="E24C37"/>
                                  <w:spacing w:val="-4"/>
                                  <w:sz w:val="18"/>
                                  <w:lang w:val="en-US"/>
                                </w:rPr>
                              </w:pPr>
                            </w:p>
                            <w:p w14:paraId="5BD26A32" w14:textId="77777777" w:rsidR="00C27AB6" w:rsidRPr="00E13B17" w:rsidRDefault="00C27AB6" w:rsidP="009B08ED">
                              <w:pPr>
                                <w:jc w:val="center"/>
                                <w:rPr>
                                  <w:rFonts w:ascii="Arial" w:hAnsi="Arial" w:cs="Arial"/>
                                  <w:color w:val="E24C37"/>
                                  <w:spacing w:val="-4"/>
                                  <w:sz w:val="18"/>
                                  <w:lang w:val="en-US"/>
                                </w:rPr>
                              </w:pPr>
                            </w:p>
                            <w:p w14:paraId="3240F5F4" w14:textId="77777777" w:rsidR="00C27AB6" w:rsidRPr="001E6512" w:rsidRDefault="00C27AB6" w:rsidP="009B08ED">
                              <w:pPr>
                                <w:jc w:val="center"/>
                                <w:rPr>
                                  <w:rFonts w:ascii="Arial" w:hAnsi="Arial" w:cs="Arial"/>
                                  <w:color w:val="C00000"/>
                                  <w:sz w:val="18"/>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rPr>
                                <w:t>ΕΛΣΤΑΤ, Υπουργείο Οικονομικών</w:t>
                              </w:r>
                            </w:p>
                          </w:txbxContent>
                        </wps:txbx>
                        <wps:bodyPr rot="0" vert="horz" wrap="square" lIns="91440" tIns="45720" rIns="91440" bIns="45720" anchor="t" anchorCtr="0" upright="1">
                          <a:noAutofit/>
                        </wps:bodyPr>
                      </wps:wsp>
                      <wps:wsp>
                        <wps:cNvPr id="205"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09BDE1" w14:textId="77777777" w:rsidR="00C27AB6" w:rsidRPr="001E6512" w:rsidRDefault="00C27AB6" w:rsidP="009B08ED">
                              <w:pPr>
                                <w:tabs>
                                  <w:tab w:val="left" w:pos="2410"/>
                                </w:tabs>
                                <w:spacing w:after="0" w:line="240" w:lineRule="auto"/>
                                <w:rPr>
                                  <w:rFonts w:ascii="Arial" w:hAnsi="Arial" w:cs="Arial"/>
                                  <w:sz w:val="10"/>
                                  <w:szCs w:val="10"/>
                                </w:rPr>
                              </w:pPr>
                            </w:p>
                            <w:p w14:paraId="04C62142" w14:textId="77777777" w:rsidR="00C27AB6" w:rsidRDefault="00C31266" w:rsidP="00321526">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Ε</w:t>
                              </w:r>
                              <w:r w:rsidR="00C27AB6">
                                <w:rPr>
                                  <w:rFonts w:ascii="Arial" w:eastAsia="Arial" w:hAnsi="Arial" w:cs="Arial"/>
                                  <w:color w:val="0E3B70"/>
                                  <w:sz w:val="20"/>
                                  <w:szCs w:val="20"/>
                                </w:rPr>
                                <w:t>πενδ</w:t>
                              </w:r>
                              <w:r>
                                <w:rPr>
                                  <w:rFonts w:ascii="Arial" w:eastAsia="Arial" w:hAnsi="Arial" w:cs="Arial"/>
                                  <w:color w:val="0E3B70"/>
                                  <w:sz w:val="20"/>
                                  <w:szCs w:val="20"/>
                                </w:rPr>
                                <w:t>υτική</w:t>
                              </w:r>
                              <w:r w:rsidR="00EE48EC" w:rsidRPr="001254E9">
                                <w:rPr>
                                  <w:rFonts w:ascii="Arial" w:eastAsia="Arial" w:hAnsi="Arial" w:cs="Arial"/>
                                  <w:color w:val="0E3B70"/>
                                  <w:sz w:val="20"/>
                                  <w:szCs w:val="20"/>
                                </w:rPr>
                                <w:t xml:space="preserve"> </w:t>
                              </w:r>
                              <w:r w:rsidR="00EE48EC">
                                <w:rPr>
                                  <w:rFonts w:ascii="Arial" w:eastAsia="Arial" w:hAnsi="Arial" w:cs="Arial"/>
                                  <w:color w:val="0E3B70"/>
                                  <w:sz w:val="20"/>
                                  <w:szCs w:val="20"/>
                                </w:rPr>
                                <w:t>Δαπάνη</w:t>
                              </w:r>
                              <w:r w:rsidR="00C27AB6">
                                <w:rPr>
                                  <w:rFonts w:ascii="Arial" w:eastAsia="Arial" w:hAnsi="Arial" w:cs="Arial"/>
                                  <w:color w:val="0E3B70"/>
                                  <w:sz w:val="20"/>
                                  <w:szCs w:val="20"/>
                                </w:rPr>
                                <w:t xml:space="preserve"> ανά κατηγορία και οι προβλέψεις μέχρι το 2024 (% ΑΕΠ)</w:t>
                              </w:r>
                            </w:p>
                            <w:p w14:paraId="3FF688A6" w14:textId="77777777" w:rsidR="00C27AB6" w:rsidRPr="001E6512" w:rsidRDefault="00C27AB6" w:rsidP="00321526">
                              <w:pPr>
                                <w:tabs>
                                  <w:tab w:val="left" w:pos="2410"/>
                                </w:tabs>
                                <w:spacing w:after="0" w:line="240" w:lineRule="auto"/>
                                <w:rPr>
                                  <w:rFonts w:ascii="Arial" w:eastAsia="Arial" w:hAnsi="Arial" w:cs="Arial"/>
                                  <w:color w:val="0E3B70"/>
                                  <w:sz w:val="20"/>
                                  <w:szCs w:val="20"/>
                                </w:rPr>
                              </w:pPr>
                              <w:r w:rsidRPr="00321526">
                                <w:rPr>
                                  <w:rFonts w:ascii="Arial" w:eastAsia="Arial" w:hAnsi="Arial" w:cs="Arial"/>
                                  <w:noProof/>
                                  <w:color w:val="0E3B70"/>
                                  <w:sz w:val="20"/>
                                  <w:szCs w:val="20"/>
                                  <w:lang w:eastAsia="el-GR"/>
                                </w:rPr>
                                <w:drawing>
                                  <wp:inline distT="0" distB="0" distL="0" distR="0" wp14:anchorId="393410F8" wp14:editId="1D7BD5E2">
                                    <wp:extent cx="5897880" cy="47259"/>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7259"/>
                                            </a:xfrm>
                                            <a:prstGeom prst="rect">
                                              <a:avLst/>
                                            </a:prstGeom>
                                            <a:noFill/>
                                            <a:ln>
                                              <a:noFill/>
                                            </a:ln>
                                          </pic:spPr>
                                        </pic:pic>
                                      </a:graphicData>
                                    </a:graphic>
                                  </wp:inline>
                                </w:drawing>
                              </w:r>
                            </w:p>
                            <w:p w14:paraId="6FE50E30" w14:textId="77777777" w:rsidR="00C27AB6" w:rsidRDefault="006A56EC" w:rsidP="00321526">
                              <w:pPr>
                                <w:tabs>
                                  <w:tab w:val="left" w:pos="2410"/>
                                </w:tabs>
                                <w:spacing w:after="0" w:line="240" w:lineRule="auto"/>
                                <w:rPr>
                                  <w:rFonts w:ascii="Arial" w:eastAsia="Arial" w:hAnsi="Arial" w:cs="Arial"/>
                                  <w:color w:val="0E3B70"/>
                                  <w:sz w:val="20"/>
                                  <w:szCs w:val="20"/>
                                </w:rPr>
                              </w:pPr>
                              <w:r w:rsidRPr="006A56EC">
                                <w:rPr>
                                  <w:noProof/>
                                  <w:lang w:eastAsia="el-GR"/>
                                </w:rPr>
                                <w:drawing>
                                  <wp:inline distT="0" distB="0" distL="0" distR="0" wp14:anchorId="32C90622" wp14:editId="64FD27AE">
                                    <wp:extent cx="5764530" cy="283083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2830830"/>
                                            </a:xfrm>
                                            <a:prstGeom prst="rect">
                                              <a:avLst/>
                                            </a:prstGeom>
                                            <a:noFill/>
                                            <a:ln>
                                              <a:noFill/>
                                            </a:ln>
                                          </pic:spPr>
                                        </pic:pic>
                                      </a:graphicData>
                                    </a:graphic>
                                  </wp:inline>
                                </w:drawing>
                              </w:r>
                            </w:p>
                            <w:p w14:paraId="415E338F" w14:textId="77777777" w:rsidR="00C27AB6" w:rsidRPr="005F4DC6" w:rsidRDefault="00C27AB6" w:rsidP="005418D0">
                              <w:pPr>
                                <w:tabs>
                                  <w:tab w:val="left" w:pos="2410"/>
                                </w:tabs>
                                <w:spacing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4BDEC37" id="Group 399" o:spid="_x0000_s1026" style="position:absolute;margin-left:0;margin-top:.75pt;width:566.9pt;height:255.1pt;z-index:-251664384;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">
                <v:rect id="Rectangle 24" o:spid="_x0000_s1027"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" fillcolor="#e5e4de" stroked="f">
                  <v:textbox>
                    <w:txbxContent>
                      <w:p w14:paraId="647EE8BC" w14:textId="77777777" w:rsidR="00C27AB6" w:rsidRPr="00E13B17" w:rsidRDefault="00C27AB6" w:rsidP="009B08ED">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1</w:t>
                        </w:r>
                      </w:p>
                      <w:p w14:paraId="73B37060" w14:textId="77777777" w:rsidR="00C27AB6" w:rsidRPr="00E13B17" w:rsidRDefault="00C27AB6" w:rsidP="009B08ED">
                        <w:pPr>
                          <w:jc w:val="center"/>
                          <w:rPr>
                            <w:rFonts w:ascii="Arial" w:hAnsi="Arial" w:cs="Arial"/>
                            <w:color w:val="E24C37"/>
                            <w:spacing w:val="-4"/>
                            <w:sz w:val="18"/>
                            <w:lang w:val="en-US"/>
                          </w:rPr>
                        </w:pPr>
                      </w:p>
                      <w:p w14:paraId="45EB0B49" w14:textId="77777777" w:rsidR="00C27AB6" w:rsidRPr="00E13B17" w:rsidRDefault="00C27AB6" w:rsidP="009B08ED">
                        <w:pPr>
                          <w:jc w:val="center"/>
                          <w:rPr>
                            <w:rFonts w:ascii="Arial" w:hAnsi="Arial" w:cs="Arial"/>
                            <w:color w:val="E24C37"/>
                            <w:spacing w:val="-4"/>
                            <w:sz w:val="18"/>
                            <w:lang w:val="en-US"/>
                          </w:rPr>
                        </w:pPr>
                      </w:p>
                      <w:p w14:paraId="651CC576" w14:textId="77777777" w:rsidR="00C27AB6" w:rsidRPr="00E13B17" w:rsidRDefault="00C27AB6" w:rsidP="009B08ED">
                        <w:pPr>
                          <w:jc w:val="center"/>
                          <w:rPr>
                            <w:rFonts w:ascii="Arial" w:hAnsi="Arial" w:cs="Arial"/>
                            <w:color w:val="E24C37"/>
                            <w:spacing w:val="-4"/>
                            <w:sz w:val="18"/>
                            <w:lang w:val="en-US"/>
                          </w:rPr>
                        </w:pPr>
                      </w:p>
                      <w:p w14:paraId="1BD026D2" w14:textId="77777777" w:rsidR="00C27AB6" w:rsidRPr="00E13B17" w:rsidRDefault="00C27AB6" w:rsidP="009B08ED">
                        <w:pPr>
                          <w:jc w:val="center"/>
                          <w:rPr>
                            <w:rFonts w:ascii="Arial" w:hAnsi="Arial" w:cs="Arial"/>
                            <w:color w:val="E24C37"/>
                            <w:spacing w:val="-4"/>
                            <w:sz w:val="18"/>
                            <w:lang w:val="en-US"/>
                          </w:rPr>
                        </w:pPr>
                      </w:p>
                      <w:p w14:paraId="1B6E0FCC" w14:textId="77777777" w:rsidR="00C27AB6" w:rsidRPr="00E13B17" w:rsidRDefault="00C27AB6" w:rsidP="009B08ED">
                        <w:pPr>
                          <w:jc w:val="center"/>
                          <w:rPr>
                            <w:rFonts w:ascii="Arial" w:hAnsi="Arial" w:cs="Arial"/>
                            <w:color w:val="E24C37"/>
                            <w:spacing w:val="-4"/>
                            <w:sz w:val="18"/>
                            <w:lang w:val="en-US"/>
                          </w:rPr>
                        </w:pPr>
                      </w:p>
                      <w:p w14:paraId="6860BFDA" w14:textId="77777777" w:rsidR="00C27AB6" w:rsidRPr="00E13B17" w:rsidRDefault="00C27AB6" w:rsidP="009B08ED">
                        <w:pPr>
                          <w:jc w:val="center"/>
                          <w:rPr>
                            <w:rFonts w:ascii="Arial" w:hAnsi="Arial" w:cs="Arial"/>
                            <w:color w:val="E24C37"/>
                            <w:spacing w:val="-4"/>
                            <w:sz w:val="18"/>
                            <w:lang w:val="en-US"/>
                          </w:rPr>
                        </w:pPr>
                      </w:p>
                      <w:p w14:paraId="62ACF79E" w14:textId="77777777" w:rsidR="00C27AB6" w:rsidRPr="00E13B17" w:rsidRDefault="00C27AB6" w:rsidP="009B08ED">
                        <w:pPr>
                          <w:jc w:val="center"/>
                          <w:rPr>
                            <w:rFonts w:ascii="Arial" w:hAnsi="Arial" w:cs="Arial"/>
                            <w:color w:val="E24C37"/>
                            <w:spacing w:val="-4"/>
                            <w:sz w:val="18"/>
                            <w:lang w:val="en-US"/>
                          </w:rPr>
                        </w:pPr>
                      </w:p>
                      <w:p w14:paraId="20A4580B" w14:textId="77777777" w:rsidR="00C27AB6" w:rsidRDefault="00C27AB6" w:rsidP="009B08ED">
                        <w:pPr>
                          <w:jc w:val="center"/>
                          <w:rPr>
                            <w:rFonts w:ascii="Arial" w:hAnsi="Arial" w:cs="Arial"/>
                            <w:color w:val="E24C37"/>
                            <w:spacing w:val="-4"/>
                            <w:sz w:val="18"/>
                            <w:lang w:val="en-US"/>
                          </w:rPr>
                        </w:pPr>
                      </w:p>
                      <w:p w14:paraId="5BD26A32" w14:textId="77777777" w:rsidR="00C27AB6" w:rsidRPr="00E13B17" w:rsidRDefault="00C27AB6" w:rsidP="009B08ED">
                        <w:pPr>
                          <w:jc w:val="center"/>
                          <w:rPr>
                            <w:rFonts w:ascii="Arial" w:hAnsi="Arial" w:cs="Arial"/>
                            <w:color w:val="E24C37"/>
                            <w:spacing w:val="-4"/>
                            <w:sz w:val="18"/>
                            <w:lang w:val="en-US"/>
                          </w:rPr>
                        </w:pPr>
                      </w:p>
                      <w:p w14:paraId="3240F5F4" w14:textId="77777777" w:rsidR="00C27AB6" w:rsidRPr="001E6512" w:rsidRDefault="00C27AB6" w:rsidP="009B08ED">
                        <w:pPr>
                          <w:jc w:val="center"/>
                          <w:rPr>
                            <w:rFonts w:ascii="Arial" w:hAnsi="Arial" w:cs="Arial"/>
                            <w:color w:val="C00000"/>
                            <w:sz w:val="18"/>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rPr>
                          <w:t>ΕΛΣΤΑΤ, Υπουργείο Οικονομικών</w:t>
                        </w:r>
                      </w:p>
                    </w:txbxContent>
                  </v:textbox>
                </v:rect>
                <v:shape id="Freeform 364" o:spid="_x0000_s1028"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" adj="-11796480,,5400" path="m9585,l,,,4123r9585,l9585,xe" fillcolor="#e5e4de" stroked="f">
                  <v:stroke joinstyle="round"/>
                  <v:formulas/>
                  <v:path arrowok="t" o:connecttype="custom" o:connectlocs="38506193,0;0,0;0,16754221;38506193,16754221;38506193,0" o:connectangles="0,0,0,0,0" textboxrect="0,0,9586,4124"/>
                  <v:textbox>
                    <w:txbxContent>
                      <w:p w14:paraId="0409BDE1" w14:textId="77777777" w:rsidR="00C27AB6" w:rsidRPr="001E6512" w:rsidRDefault="00C27AB6" w:rsidP="009B08ED">
                        <w:pPr>
                          <w:tabs>
                            <w:tab w:val="left" w:pos="2410"/>
                          </w:tabs>
                          <w:spacing w:after="0" w:line="240" w:lineRule="auto"/>
                          <w:rPr>
                            <w:rFonts w:ascii="Arial" w:hAnsi="Arial" w:cs="Arial"/>
                            <w:sz w:val="10"/>
                            <w:szCs w:val="10"/>
                          </w:rPr>
                        </w:pPr>
                      </w:p>
                      <w:p w14:paraId="04C62142" w14:textId="77777777" w:rsidR="00C27AB6" w:rsidRDefault="00C31266" w:rsidP="00321526">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Ε</w:t>
                        </w:r>
                        <w:r w:rsidR="00C27AB6">
                          <w:rPr>
                            <w:rFonts w:ascii="Arial" w:eastAsia="Arial" w:hAnsi="Arial" w:cs="Arial"/>
                            <w:color w:val="0E3B70"/>
                            <w:sz w:val="20"/>
                            <w:szCs w:val="20"/>
                          </w:rPr>
                          <w:t>πενδ</w:t>
                        </w:r>
                        <w:r>
                          <w:rPr>
                            <w:rFonts w:ascii="Arial" w:eastAsia="Arial" w:hAnsi="Arial" w:cs="Arial"/>
                            <w:color w:val="0E3B70"/>
                            <w:sz w:val="20"/>
                            <w:szCs w:val="20"/>
                          </w:rPr>
                          <w:t>υτική</w:t>
                        </w:r>
                        <w:r w:rsidR="00EE48EC" w:rsidRPr="001254E9">
                          <w:rPr>
                            <w:rFonts w:ascii="Arial" w:eastAsia="Arial" w:hAnsi="Arial" w:cs="Arial"/>
                            <w:color w:val="0E3B70"/>
                            <w:sz w:val="20"/>
                            <w:szCs w:val="20"/>
                          </w:rPr>
                          <w:t xml:space="preserve"> </w:t>
                        </w:r>
                        <w:r w:rsidR="00EE48EC">
                          <w:rPr>
                            <w:rFonts w:ascii="Arial" w:eastAsia="Arial" w:hAnsi="Arial" w:cs="Arial"/>
                            <w:color w:val="0E3B70"/>
                            <w:sz w:val="20"/>
                            <w:szCs w:val="20"/>
                          </w:rPr>
                          <w:t>Δαπάνη</w:t>
                        </w:r>
                        <w:r w:rsidR="00C27AB6">
                          <w:rPr>
                            <w:rFonts w:ascii="Arial" w:eastAsia="Arial" w:hAnsi="Arial" w:cs="Arial"/>
                            <w:color w:val="0E3B70"/>
                            <w:sz w:val="20"/>
                            <w:szCs w:val="20"/>
                          </w:rPr>
                          <w:t xml:space="preserve"> ανά κατηγορία και οι προβλέψεις μέχρι το 2024 (% ΑΕΠ)</w:t>
                        </w:r>
                      </w:p>
                      <w:p w14:paraId="3FF688A6" w14:textId="77777777" w:rsidR="00C27AB6" w:rsidRPr="001E6512" w:rsidRDefault="00C27AB6" w:rsidP="00321526">
                        <w:pPr>
                          <w:tabs>
                            <w:tab w:val="left" w:pos="2410"/>
                          </w:tabs>
                          <w:spacing w:after="0" w:line="240" w:lineRule="auto"/>
                          <w:rPr>
                            <w:rFonts w:ascii="Arial" w:eastAsia="Arial" w:hAnsi="Arial" w:cs="Arial"/>
                            <w:color w:val="0E3B70"/>
                            <w:sz w:val="20"/>
                            <w:szCs w:val="20"/>
                          </w:rPr>
                        </w:pPr>
                        <w:r w:rsidRPr="00321526">
                          <w:rPr>
                            <w:rFonts w:ascii="Arial" w:eastAsia="Arial" w:hAnsi="Arial" w:cs="Arial"/>
                            <w:noProof/>
                            <w:color w:val="0E3B70"/>
                            <w:sz w:val="20"/>
                            <w:szCs w:val="20"/>
                            <w:lang w:eastAsia="el-GR"/>
                          </w:rPr>
                          <w:drawing>
                            <wp:inline distT="0" distB="0" distL="0" distR="0" wp14:anchorId="393410F8" wp14:editId="1D7BD5E2">
                              <wp:extent cx="5897880" cy="47259"/>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7259"/>
                                      </a:xfrm>
                                      <a:prstGeom prst="rect">
                                        <a:avLst/>
                                      </a:prstGeom>
                                      <a:noFill/>
                                      <a:ln>
                                        <a:noFill/>
                                      </a:ln>
                                    </pic:spPr>
                                  </pic:pic>
                                </a:graphicData>
                              </a:graphic>
                            </wp:inline>
                          </w:drawing>
                        </w:r>
                      </w:p>
                      <w:p w14:paraId="6FE50E30" w14:textId="77777777" w:rsidR="00C27AB6" w:rsidRDefault="006A56EC" w:rsidP="00321526">
                        <w:pPr>
                          <w:tabs>
                            <w:tab w:val="left" w:pos="2410"/>
                          </w:tabs>
                          <w:spacing w:after="0" w:line="240" w:lineRule="auto"/>
                          <w:rPr>
                            <w:rFonts w:ascii="Arial" w:eastAsia="Arial" w:hAnsi="Arial" w:cs="Arial"/>
                            <w:color w:val="0E3B70"/>
                            <w:sz w:val="20"/>
                            <w:szCs w:val="20"/>
                          </w:rPr>
                        </w:pPr>
                        <w:r w:rsidRPr="006A56EC">
                          <w:rPr>
                            <w:noProof/>
                            <w:lang w:eastAsia="el-GR"/>
                          </w:rPr>
                          <w:drawing>
                            <wp:inline distT="0" distB="0" distL="0" distR="0" wp14:anchorId="32C90622" wp14:editId="64FD27AE">
                              <wp:extent cx="5764530" cy="283083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2830830"/>
                                      </a:xfrm>
                                      <a:prstGeom prst="rect">
                                        <a:avLst/>
                                      </a:prstGeom>
                                      <a:noFill/>
                                      <a:ln>
                                        <a:noFill/>
                                      </a:ln>
                                    </pic:spPr>
                                  </pic:pic>
                                </a:graphicData>
                              </a:graphic>
                            </wp:inline>
                          </w:drawing>
                        </w:r>
                      </w:p>
                      <w:p w14:paraId="415E338F" w14:textId="77777777" w:rsidR="00C27AB6" w:rsidRPr="005F4DC6" w:rsidRDefault="00C27AB6" w:rsidP="005418D0">
                        <w:pPr>
                          <w:tabs>
                            <w:tab w:val="left" w:pos="2410"/>
                          </w:tabs>
                          <w:spacing w:line="240" w:lineRule="auto"/>
                          <w:jc w:val="center"/>
                          <w:rPr>
                            <w:rFonts w:ascii="Arial" w:hAnsi="Arial" w:cs="Arial"/>
                            <w:sz w:val="20"/>
                          </w:rPr>
                        </w:pPr>
                      </w:p>
                    </w:txbxContent>
                  </v:textbox>
                </v:shape>
              </v:group>
            </w:pict>
          </mc:Fallback>
        </mc:AlternateContent>
      </w:r>
      <w:r w:rsidR="007F4129">
        <w:tab/>
      </w:r>
      <w:r w:rsidR="00A47D70">
        <w:tab/>
      </w:r>
    </w:p>
    <w:p w14:paraId="4021954C" w14:textId="77777777" w:rsidR="009B08ED" w:rsidRPr="00C6016D" w:rsidRDefault="009B08ED" w:rsidP="0047660B">
      <w:pPr>
        <w:ind w:right="170"/>
      </w:pPr>
    </w:p>
    <w:p w14:paraId="636955C1" w14:textId="77777777" w:rsidR="009B08ED" w:rsidRDefault="009B08ED" w:rsidP="0047660B">
      <w:pPr>
        <w:ind w:right="170"/>
      </w:pPr>
    </w:p>
    <w:p w14:paraId="5B0BC273" w14:textId="77777777" w:rsidR="009B08ED" w:rsidRPr="00314EBE" w:rsidRDefault="009B08ED" w:rsidP="0047660B">
      <w:pPr>
        <w:ind w:right="170"/>
      </w:pPr>
    </w:p>
    <w:p w14:paraId="6D2FA0D9" w14:textId="77777777" w:rsidR="009B08ED" w:rsidRPr="00314EBE" w:rsidRDefault="009B08ED" w:rsidP="0047660B">
      <w:pPr>
        <w:ind w:right="170"/>
      </w:pPr>
    </w:p>
    <w:p w14:paraId="573A9453" w14:textId="77777777" w:rsidR="009B08ED" w:rsidRPr="00314EBE" w:rsidRDefault="009B08ED" w:rsidP="0047660B">
      <w:pPr>
        <w:ind w:right="170"/>
      </w:pPr>
    </w:p>
    <w:p w14:paraId="7D5918C7" w14:textId="77777777" w:rsidR="009B08ED" w:rsidRPr="00314EBE" w:rsidRDefault="009B08ED" w:rsidP="0047660B">
      <w:pPr>
        <w:ind w:right="170"/>
      </w:pPr>
    </w:p>
    <w:p w14:paraId="5E188852" w14:textId="77777777" w:rsidR="009B08ED" w:rsidRPr="00314EBE" w:rsidRDefault="009B08ED" w:rsidP="0047660B">
      <w:pPr>
        <w:ind w:right="170"/>
      </w:pPr>
    </w:p>
    <w:p w14:paraId="6E329FB5" w14:textId="77777777" w:rsidR="009B08ED" w:rsidRPr="008A2EAC" w:rsidRDefault="009B08ED" w:rsidP="0047660B">
      <w:pPr>
        <w:ind w:right="170"/>
        <w:rPr>
          <w:sz w:val="24"/>
        </w:rPr>
      </w:pPr>
    </w:p>
    <w:p w14:paraId="2725CE81" w14:textId="77777777" w:rsidR="003F4835" w:rsidRDefault="003F4835" w:rsidP="003F4835">
      <w:pPr>
        <w:pStyle w:val="a4"/>
        <w:ind w:left="1758" w:right="227"/>
        <w:jc w:val="both"/>
        <w:rPr>
          <w:sz w:val="20"/>
          <w:lang w:val="el-GR"/>
        </w:rPr>
      </w:pPr>
    </w:p>
    <w:p w14:paraId="706FE621" w14:textId="77777777" w:rsidR="003F4835" w:rsidRDefault="003F4835" w:rsidP="003F4835">
      <w:pPr>
        <w:pStyle w:val="a4"/>
        <w:ind w:left="1758" w:right="227"/>
        <w:jc w:val="both"/>
        <w:rPr>
          <w:sz w:val="20"/>
          <w:lang w:val="el-GR"/>
        </w:rPr>
      </w:pPr>
    </w:p>
    <w:p w14:paraId="0FDC73D5" w14:textId="77777777" w:rsidR="00341F31" w:rsidRDefault="00341F31" w:rsidP="003C0A64">
      <w:pPr>
        <w:pStyle w:val="a4"/>
        <w:ind w:left="1758" w:right="227"/>
        <w:jc w:val="both"/>
        <w:rPr>
          <w:sz w:val="20"/>
          <w:highlight w:val="yellow"/>
          <w:lang w:val="el-GR"/>
        </w:rPr>
      </w:pPr>
    </w:p>
    <w:p w14:paraId="1DF6352A" w14:textId="77777777" w:rsidR="00F92F1F" w:rsidRDefault="00F92F1F" w:rsidP="00B06E6C">
      <w:pPr>
        <w:pStyle w:val="a4"/>
        <w:spacing w:line="250" w:lineRule="auto"/>
        <w:ind w:left="2121" w:right="227"/>
        <w:jc w:val="both"/>
        <w:rPr>
          <w:sz w:val="20"/>
          <w:lang w:val="el-GR"/>
        </w:rPr>
      </w:pPr>
      <w:r>
        <w:rPr>
          <w:sz w:val="20"/>
          <w:lang w:val="el-GR"/>
        </w:rPr>
        <w:lastRenderedPageBreak/>
        <w:t>οι κατασκευές αποτέλεσαν, το 2020, μόλις το 2% αυτής.</w:t>
      </w:r>
    </w:p>
    <w:p w14:paraId="17545EF7" w14:textId="1E42939C" w:rsidR="00D06F15" w:rsidRPr="00934C72" w:rsidRDefault="00D06F15" w:rsidP="00B06E6C">
      <w:pPr>
        <w:pStyle w:val="a4"/>
        <w:numPr>
          <w:ilvl w:val="0"/>
          <w:numId w:val="5"/>
        </w:numPr>
        <w:spacing w:line="250" w:lineRule="auto"/>
        <w:ind w:left="2121" w:right="227"/>
        <w:jc w:val="both"/>
        <w:rPr>
          <w:sz w:val="20"/>
          <w:lang w:val="el-GR"/>
        </w:rPr>
      </w:pPr>
      <w:r>
        <w:rPr>
          <w:sz w:val="20"/>
          <w:lang w:val="el-GR"/>
        </w:rPr>
        <w:t xml:space="preserve">Στην </w:t>
      </w:r>
      <w:r w:rsidRPr="00192118">
        <w:rPr>
          <w:i/>
          <w:sz w:val="20"/>
          <w:lang w:val="el-GR"/>
        </w:rPr>
        <w:t>άνοδο της ιδιωτικής οικοδομικής δραστηριότητας</w:t>
      </w:r>
      <w:r w:rsidR="00EF3E9F">
        <w:rPr>
          <w:i/>
          <w:sz w:val="20"/>
          <w:lang w:val="el-GR"/>
        </w:rPr>
        <w:t>,</w:t>
      </w:r>
      <w:r w:rsidRPr="00A655B3">
        <w:rPr>
          <w:sz w:val="20"/>
          <w:lang w:val="el-GR"/>
        </w:rPr>
        <w:t xml:space="preserve"> σε όρους όγκου (m3)</w:t>
      </w:r>
      <w:r>
        <w:rPr>
          <w:sz w:val="20"/>
          <w:lang w:val="el-GR"/>
        </w:rPr>
        <w:t xml:space="preserve">, αλλά </w:t>
      </w:r>
      <w:r w:rsidRPr="00192118">
        <w:rPr>
          <w:i/>
          <w:sz w:val="20"/>
          <w:lang w:val="el-GR"/>
        </w:rPr>
        <w:t xml:space="preserve">και των τιμών </w:t>
      </w:r>
      <w:r w:rsidR="00EF3E9F">
        <w:rPr>
          <w:i/>
          <w:sz w:val="20"/>
          <w:lang w:val="el-GR"/>
        </w:rPr>
        <w:t xml:space="preserve">των </w:t>
      </w:r>
      <w:r w:rsidRPr="00192118">
        <w:rPr>
          <w:i/>
          <w:sz w:val="20"/>
          <w:lang w:val="el-GR"/>
        </w:rPr>
        <w:t>οικιστικών ακινήτων</w:t>
      </w:r>
      <w:r w:rsidR="00670CC5">
        <w:rPr>
          <w:i/>
          <w:sz w:val="20"/>
          <w:lang w:val="el-GR"/>
        </w:rPr>
        <w:t xml:space="preserve"> </w:t>
      </w:r>
      <w:r w:rsidR="00670CC5" w:rsidRPr="00670CC5">
        <w:rPr>
          <w:sz w:val="20"/>
          <w:lang w:val="el-GR"/>
        </w:rPr>
        <w:t>το 2020</w:t>
      </w:r>
      <w:r>
        <w:rPr>
          <w:sz w:val="20"/>
          <w:lang w:val="el-GR"/>
        </w:rPr>
        <w:t xml:space="preserve">, για τέταρτη και τρίτη συνεχόμενη χρονιά, αντίστοιχα, </w:t>
      </w:r>
      <w:r w:rsidRPr="00934C72">
        <w:rPr>
          <w:sz w:val="20"/>
          <w:lang w:val="el-GR"/>
        </w:rPr>
        <w:t>αν και με ηπιότερο ρυθμό.</w:t>
      </w:r>
    </w:p>
    <w:p w14:paraId="1ACBE022" w14:textId="77777777" w:rsidR="00D06F15" w:rsidRPr="001254E9" w:rsidRDefault="00D06F15" w:rsidP="00B06E6C">
      <w:pPr>
        <w:pStyle w:val="a4"/>
        <w:numPr>
          <w:ilvl w:val="0"/>
          <w:numId w:val="5"/>
        </w:numPr>
        <w:spacing w:line="250" w:lineRule="auto"/>
        <w:ind w:left="2121" w:right="227"/>
        <w:jc w:val="both"/>
        <w:rPr>
          <w:sz w:val="20"/>
          <w:lang w:val="el-GR"/>
        </w:rPr>
      </w:pPr>
      <w:r w:rsidRPr="001254E9">
        <w:rPr>
          <w:sz w:val="20"/>
          <w:lang w:val="el-GR"/>
        </w:rPr>
        <w:t xml:space="preserve">Στη </w:t>
      </w:r>
      <w:r w:rsidRPr="001254E9">
        <w:rPr>
          <w:i/>
          <w:sz w:val="20"/>
          <w:lang w:val="el-GR"/>
        </w:rPr>
        <w:t>βελτίωση των επιχειρηματικών προσδοκιών</w:t>
      </w:r>
      <w:r w:rsidRPr="001254E9">
        <w:rPr>
          <w:sz w:val="20"/>
          <w:lang w:val="el-GR"/>
        </w:rPr>
        <w:t xml:space="preserve"> στις κατασκευές και κυρίως στις ιδιωτικές, </w:t>
      </w:r>
      <w:r w:rsidR="00EF3E9F">
        <w:rPr>
          <w:sz w:val="20"/>
          <w:lang w:val="el-GR"/>
        </w:rPr>
        <w:t>οι</w:t>
      </w:r>
      <w:r w:rsidRPr="001254E9">
        <w:rPr>
          <w:sz w:val="20"/>
          <w:lang w:val="el-GR"/>
        </w:rPr>
        <w:t xml:space="preserve"> οποί</w:t>
      </w:r>
      <w:r>
        <w:rPr>
          <w:sz w:val="20"/>
          <w:lang w:val="el-GR"/>
        </w:rPr>
        <w:t>ες</w:t>
      </w:r>
      <w:r w:rsidRPr="001254E9">
        <w:rPr>
          <w:sz w:val="20"/>
          <w:lang w:val="el-GR"/>
        </w:rPr>
        <w:t xml:space="preserve"> </w:t>
      </w:r>
      <w:r>
        <w:rPr>
          <w:sz w:val="20"/>
          <w:lang w:val="el-GR"/>
        </w:rPr>
        <w:t>βελτιώ</w:t>
      </w:r>
      <w:r w:rsidR="008314BE">
        <w:rPr>
          <w:sz w:val="20"/>
          <w:lang w:val="el-GR"/>
        </w:rPr>
        <w:t>θηκαν</w:t>
      </w:r>
      <w:r>
        <w:rPr>
          <w:sz w:val="20"/>
          <w:lang w:val="el-GR"/>
        </w:rPr>
        <w:t xml:space="preserve"> με </w:t>
      </w:r>
      <w:r w:rsidRPr="001254E9">
        <w:rPr>
          <w:sz w:val="20"/>
          <w:lang w:val="el-GR"/>
        </w:rPr>
        <w:t>επιταχ</w:t>
      </w:r>
      <w:r>
        <w:rPr>
          <w:sz w:val="20"/>
          <w:lang w:val="el-GR"/>
        </w:rPr>
        <w:t>υνόμενο ρυθμό</w:t>
      </w:r>
      <w:r w:rsidR="00EF3E9F">
        <w:rPr>
          <w:sz w:val="20"/>
          <w:lang w:val="el-GR"/>
        </w:rPr>
        <w:t>,</w:t>
      </w:r>
      <w:r w:rsidRPr="001254E9">
        <w:rPr>
          <w:sz w:val="20"/>
          <w:lang w:val="el-GR"/>
        </w:rPr>
        <w:t xml:space="preserve"> κατά το πρώτο τετράμηνο του τρέχοντος έτους.</w:t>
      </w:r>
    </w:p>
    <w:p w14:paraId="1A6226E2" w14:textId="77777777" w:rsidR="00D06F15" w:rsidRDefault="00D06F15" w:rsidP="00D06F15">
      <w:pPr>
        <w:pStyle w:val="a4"/>
        <w:spacing w:line="250" w:lineRule="auto"/>
        <w:ind w:left="2118" w:right="170"/>
        <w:jc w:val="both"/>
        <w:rPr>
          <w:sz w:val="20"/>
          <w:lang w:val="el-GR"/>
        </w:rPr>
      </w:pPr>
    </w:p>
    <w:p w14:paraId="427A7E39" w14:textId="77777777" w:rsidR="001F23C9" w:rsidRDefault="005C3824" w:rsidP="00B06E6C">
      <w:pPr>
        <w:pStyle w:val="a4"/>
        <w:spacing w:line="250" w:lineRule="auto"/>
        <w:ind w:left="1758" w:right="227"/>
        <w:jc w:val="both"/>
        <w:rPr>
          <w:sz w:val="20"/>
          <w:lang w:val="el-GR"/>
        </w:rPr>
      </w:pPr>
      <w:r>
        <w:rPr>
          <w:sz w:val="20"/>
          <w:lang w:val="el-GR"/>
        </w:rPr>
        <w:t xml:space="preserve">Η τελευταία εξέλιξη είναι πιθανό να συνδέεται με την ενίσχυση του οικονομικού κλίματος στη </w:t>
      </w:r>
      <w:proofErr w:type="spellStart"/>
      <w:r>
        <w:rPr>
          <w:sz w:val="20"/>
          <w:lang w:val="el-GR"/>
        </w:rPr>
        <w:t>μεταπανδημική</w:t>
      </w:r>
      <w:proofErr w:type="spellEnd"/>
      <w:r>
        <w:rPr>
          <w:sz w:val="20"/>
          <w:lang w:val="el-GR"/>
        </w:rPr>
        <w:t xml:space="preserve"> εποχή και</w:t>
      </w:r>
      <w:r w:rsidR="00EF3E9F">
        <w:rPr>
          <w:sz w:val="20"/>
          <w:lang w:val="el-GR"/>
        </w:rPr>
        <w:t>,</w:t>
      </w:r>
      <w:r>
        <w:rPr>
          <w:sz w:val="20"/>
          <w:lang w:val="el-GR"/>
        </w:rPr>
        <w:t xml:space="preserve"> κυρίως</w:t>
      </w:r>
      <w:r w:rsidR="00EF3E9F">
        <w:rPr>
          <w:sz w:val="20"/>
          <w:lang w:val="el-GR"/>
        </w:rPr>
        <w:t>,</w:t>
      </w:r>
      <w:r>
        <w:rPr>
          <w:sz w:val="20"/>
          <w:lang w:val="el-GR"/>
        </w:rPr>
        <w:t xml:space="preserve"> στη βελτίωση των </w:t>
      </w:r>
      <w:r w:rsidR="001F23C9" w:rsidRPr="004B3249">
        <w:rPr>
          <w:sz w:val="20"/>
          <w:lang w:val="el-GR"/>
        </w:rPr>
        <w:t>προοπτικ</w:t>
      </w:r>
      <w:r>
        <w:rPr>
          <w:sz w:val="20"/>
          <w:lang w:val="el-GR"/>
        </w:rPr>
        <w:t>ών</w:t>
      </w:r>
      <w:r w:rsidR="001F23C9" w:rsidRPr="004B3249">
        <w:rPr>
          <w:sz w:val="20"/>
          <w:lang w:val="el-GR"/>
        </w:rPr>
        <w:t xml:space="preserve"> του κατασκευαστικού κλάδου</w:t>
      </w:r>
      <w:r w:rsidR="00E020A5">
        <w:rPr>
          <w:sz w:val="20"/>
          <w:lang w:val="el-GR"/>
        </w:rPr>
        <w:t>,</w:t>
      </w:r>
      <w:r w:rsidR="001F23C9" w:rsidRPr="004B3249">
        <w:rPr>
          <w:sz w:val="20"/>
          <w:lang w:val="el-GR"/>
        </w:rPr>
        <w:t xml:space="preserve"> </w:t>
      </w:r>
      <w:r w:rsidR="001F23C9">
        <w:rPr>
          <w:sz w:val="20"/>
          <w:lang w:val="el-GR"/>
        </w:rPr>
        <w:t>λόγω της σημαντικής αύξησης των επενδύσεων</w:t>
      </w:r>
      <w:r>
        <w:rPr>
          <w:sz w:val="20"/>
          <w:lang w:val="el-GR"/>
        </w:rPr>
        <w:t xml:space="preserve"> </w:t>
      </w:r>
      <w:r w:rsidRPr="005C3824">
        <w:rPr>
          <w:sz w:val="20"/>
          <w:lang w:val="el-GR"/>
        </w:rPr>
        <w:t>τα επόμενα έτη,</w:t>
      </w:r>
      <w:r w:rsidR="001F23C9">
        <w:rPr>
          <w:sz w:val="20"/>
          <w:lang w:val="el-GR"/>
        </w:rPr>
        <w:t xml:space="preserve"> </w:t>
      </w:r>
      <w:r w:rsidR="000575FF">
        <w:rPr>
          <w:sz w:val="20"/>
          <w:lang w:val="el-GR"/>
        </w:rPr>
        <w:t>οι οποίες θα προκύψουν από την απορρόφηση των πόρων</w:t>
      </w:r>
      <w:r w:rsidR="001F23C9">
        <w:rPr>
          <w:sz w:val="20"/>
          <w:lang w:val="el-GR"/>
        </w:rPr>
        <w:t xml:space="preserve"> από το Ευρωπαϊκό Ταμείο Ανάκαμψης και της επακόλουθης ανόδου της οικονομικής δραστηριότητας, της απασχόλησης και των εισοδημάτων.</w:t>
      </w:r>
    </w:p>
    <w:p w14:paraId="70492D8A" w14:textId="77777777" w:rsidR="001F23C9" w:rsidRDefault="001F23C9" w:rsidP="003C0A64">
      <w:pPr>
        <w:pStyle w:val="a4"/>
        <w:ind w:left="1758" w:right="227"/>
        <w:jc w:val="both"/>
        <w:rPr>
          <w:sz w:val="20"/>
          <w:highlight w:val="yellow"/>
          <w:lang w:val="el-GR"/>
        </w:rPr>
      </w:pPr>
    </w:p>
    <w:p w14:paraId="4265095C" w14:textId="77777777" w:rsidR="00FA74D1" w:rsidRDefault="00FA74D1" w:rsidP="003C0A64">
      <w:pPr>
        <w:pStyle w:val="a4"/>
        <w:ind w:left="1758" w:right="227"/>
        <w:jc w:val="both"/>
        <w:rPr>
          <w:sz w:val="20"/>
          <w:highlight w:val="yellow"/>
          <w:lang w:val="el-GR"/>
        </w:rPr>
      </w:pPr>
    </w:p>
    <w:p w14:paraId="3924DC93" w14:textId="77777777" w:rsidR="00851C5C" w:rsidRPr="00D312BF" w:rsidRDefault="00F03A09" w:rsidP="00851C5C">
      <w:pPr>
        <w:pStyle w:val="1"/>
        <w:pBdr>
          <w:top w:val="single" w:sz="8" w:space="1" w:color="00B0F0"/>
          <w:bottom w:val="single" w:sz="8" w:space="1" w:color="00B0F0"/>
        </w:pBdr>
        <w:kinsoku w:val="0"/>
        <w:overflowPunct w:val="0"/>
        <w:ind w:left="1780" w:right="170"/>
        <w:rPr>
          <w:color w:val="63A1AA"/>
        </w:rPr>
      </w:pPr>
      <w:r>
        <w:rPr>
          <w:color w:val="63A1AA"/>
        </w:rPr>
        <w:t xml:space="preserve">Ο ρόλος των </w:t>
      </w:r>
      <w:r w:rsidR="00CF731C">
        <w:rPr>
          <w:color w:val="63A1AA"/>
        </w:rPr>
        <w:t>Κατασκευ</w:t>
      </w:r>
      <w:r>
        <w:rPr>
          <w:color w:val="63A1AA"/>
        </w:rPr>
        <w:t xml:space="preserve">ών στην </w:t>
      </w:r>
      <w:proofErr w:type="spellStart"/>
      <w:r>
        <w:rPr>
          <w:color w:val="63A1AA"/>
        </w:rPr>
        <w:t>αποεπένδυση</w:t>
      </w:r>
      <w:proofErr w:type="spellEnd"/>
      <w:r>
        <w:rPr>
          <w:color w:val="63A1AA"/>
        </w:rPr>
        <w:t xml:space="preserve"> της προηγούμενης δεκαετίας</w:t>
      </w:r>
      <w:r w:rsidR="00851C5C">
        <w:rPr>
          <w:color w:val="63A1AA"/>
        </w:rPr>
        <w:t xml:space="preserve"> και </w:t>
      </w:r>
      <w:r w:rsidR="006D69A1">
        <w:rPr>
          <w:color w:val="63A1AA"/>
        </w:rPr>
        <w:t xml:space="preserve">οι βελτιούμενες </w:t>
      </w:r>
      <w:r w:rsidR="00851C5C">
        <w:rPr>
          <w:color w:val="63A1AA"/>
        </w:rPr>
        <w:t>Επιχειρηματικές Προσδοκίες</w:t>
      </w:r>
      <w:r w:rsidR="006D69A1">
        <w:rPr>
          <w:color w:val="63A1AA"/>
        </w:rPr>
        <w:t xml:space="preserve"> στον κλάδο</w:t>
      </w:r>
    </w:p>
    <w:p w14:paraId="562EB82F" w14:textId="77777777" w:rsidR="00851C5C" w:rsidRDefault="00851C5C" w:rsidP="003C0A64">
      <w:pPr>
        <w:pStyle w:val="a4"/>
        <w:ind w:left="1758" w:right="227"/>
        <w:jc w:val="both"/>
        <w:rPr>
          <w:sz w:val="20"/>
          <w:highlight w:val="yellow"/>
          <w:lang w:val="el-GR"/>
        </w:rPr>
      </w:pPr>
    </w:p>
    <w:p w14:paraId="5A123D47" w14:textId="77777777" w:rsidR="002E2B31" w:rsidRDefault="003C0A64" w:rsidP="00B06E6C">
      <w:pPr>
        <w:pStyle w:val="a4"/>
        <w:ind w:left="1758" w:right="227"/>
        <w:jc w:val="both"/>
        <w:rPr>
          <w:sz w:val="20"/>
          <w:lang w:val="el-GR"/>
        </w:rPr>
      </w:pPr>
      <w:r w:rsidRPr="000575FF">
        <w:rPr>
          <w:sz w:val="20"/>
          <w:lang w:val="el-GR"/>
        </w:rPr>
        <w:t>Πιο αναλυτικά,</w:t>
      </w:r>
      <w:r w:rsidR="00765661">
        <w:rPr>
          <w:sz w:val="20"/>
          <w:lang w:val="el-GR"/>
        </w:rPr>
        <w:t xml:space="preserve"> κατά</w:t>
      </w:r>
      <w:r>
        <w:rPr>
          <w:sz w:val="20"/>
          <w:lang w:val="el-GR"/>
        </w:rPr>
        <w:t xml:space="preserve"> </w:t>
      </w:r>
      <w:r w:rsidR="00B0274C">
        <w:rPr>
          <w:sz w:val="20"/>
          <w:lang w:val="el-GR"/>
        </w:rPr>
        <w:t>τα πρώτα έτη</w:t>
      </w:r>
      <w:r w:rsidR="00C71A43">
        <w:rPr>
          <w:sz w:val="20"/>
          <w:lang w:val="el-GR"/>
        </w:rPr>
        <w:t xml:space="preserve"> της προηγούμενης οικονομικής κρίσης, ο λόγος των επενδύσεων προς το ΑΕΠ ακολούθησε καθοδική τροχιά</w:t>
      </w:r>
      <w:r w:rsidR="002309CA">
        <w:rPr>
          <w:sz w:val="20"/>
          <w:lang w:val="el-GR"/>
        </w:rPr>
        <w:t>,</w:t>
      </w:r>
      <w:r w:rsidR="00C71A43">
        <w:rPr>
          <w:sz w:val="20"/>
          <w:lang w:val="el-GR"/>
        </w:rPr>
        <w:t xml:space="preserve"> </w:t>
      </w:r>
      <w:r w:rsidR="00B412DE">
        <w:rPr>
          <w:sz w:val="20"/>
          <w:lang w:val="el-GR"/>
        </w:rPr>
        <w:t>φθάνοντας</w:t>
      </w:r>
      <w:r w:rsidR="00BE233F">
        <w:rPr>
          <w:sz w:val="20"/>
          <w:lang w:val="el-GR"/>
        </w:rPr>
        <w:t>,</w:t>
      </w:r>
      <w:r w:rsidR="00B412DE">
        <w:rPr>
          <w:sz w:val="20"/>
          <w:lang w:val="el-GR"/>
        </w:rPr>
        <w:t xml:space="preserve"> το 2014</w:t>
      </w:r>
      <w:r w:rsidR="00BE233F">
        <w:rPr>
          <w:sz w:val="20"/>
          <w:lang w:val="el-GR"/>
        </w:rPr>
        <w:t>,</w:t>
      </w:r>
      <w:r w:rsidR="00B412DE">
        <w:rPr>
          <w:sz w:val="20"/>
          <w:lang w:val="el-GR"/>
        </w:rPr>
        <w:t xml:space="preserve"> </w:t>
      </w:r>
      <w:r w:rsidR="00825398">
        <w:rPr>
          <w:sz w:val="20"/>
          <w:lang w:val="el-GR"/>
        </w:rPr>
        <w:t>σ</w:t>
      </w:r>
      <w:r w:rsidR="00B412DE">
        <w:rPr>
          <w:sz w:val="20"/>
          <w:lang w:val="el-GR"/>
        </w:rPr>
        <w:t>το 10,7%</w:t>
      </w:r>
      <w:r w:rsidR="002E2B31">
        <w:rPr>
          <w:sz w:val="20"/>
          <w:lang w:val="el-GR"/>
        </w:rPr>
        <w:t xml:space="preserve"> (Γράφημα 1)</w:t>
      </w:r>
      <w:r w:rsidR="00B412DE">
        <w:rPr>
          <w:sz w:val="20"/>
          <w:lang w:val="el-GR"/>
        </w:rPr>
        <w:t xml:space="preserve">, </w:t>
      </w:r>
      <w:r w:rsidR="003B466B">
        <w:rPr>
          <w:sz w:val="20"/>
          <w:lang w:val="el-GR"/>
        </w:rPr>
        <w:t>από 21,5%</w:t>
      </w:r>
      <w:r w:rsidR="00BE233F">
        <w:rPr>
          <w:sz w:val="20"/>
          <w:lang w:val="el-GR"/>
        </w:rPr>
        <w:t>,</w:t>
      </w:r>
      <w:r w:rsidR="003B466B">
        <w:rPr>
          <w:sz w:val="20"/>
          <w:lang w:val="el-GR"/>
        </w:rPr>
        <w:t xml:space="preserve"> το 2009</w:t>
      </w:r>
      <w:r w:rsidR="00E020A5">
        <w:rPr>
          <w:sz w:val="20"/>
          <w:lang w:val="el-GR"/>
        </w:rPr>
        <w:t xml:space="preserve">. </w:t>
      </w:r>
      <w:r w:rsidR="007F6C79">
        <w:rPr>
          <w:sz w:val="20"/>
          <w:lang w:val="el-GR"/>
        </w:rPr>
        <w:t>Κ</w:t>
      </w:r>
      <w:r w:rsidR="00C71A43">
        <w:rPr>
          <w:sz w:val="20"/>
          <w:lang w:val="el-GR"/>
        </w:rPr>
        <w:t>ατά την τριετία 2015-2017</w:t>
      </w:r>
      <w:r w:rsidR="00BE233F">
        <w:rPr>
          <w:sz w:val="20"/>
          <w:lang w:val="el-GR"/>
        </w:rPr>
        <w:t>,</w:t>
      </w:r>
      <w:r w:rsidR="00C71A43">
        <w:rPr>
          <w:sz w:val="20"/>
          <w:lang w:val="el-GR"/>
        </w:rPr>
        <w:t xml:space="preserve"> οι επενδύσεις στην Ελλάδα </w:t>
      </w:r>
      <w:r w:rsidR="00F145EE">
        <w:rPr>
          <w:sz w:val="20"/>
          <w:lang w:val="el-GR"/>
        </w:rPr>
        <w:t>ανήλθαν</w:t>
      </w:r>
      <w:r w:rsidR="00E164EE">
        <w:rPr>
          <w:sz w:val="20"/>
          <w:lang w:val="el-GR"/>
        </w:rPr>
        <w:t>,</w:t>
      </w:r>
      <w:r w:rsidR="00F145EE">
        <w:rPr>
          <w:sz w:val="20"/>
          <w:lang w:val="el-GR"/>
        </w:rPr>
        <w:t xml:space="preserve"> </w:t>
      </w:r>
      <w:r w:rsidR="00E164EE" w:rsidRPr="00E164EE">
        <w:rPr>
          <w:sz w:val="20"/>
          <w:lang w:val="el-GR"/>
        </w:rPr>
        <w:t>σταδιακά</w:t>
      </w:r>
      <w:r w:rsidR="00E164EE">
        <w:rPr>
          <w:sz w:val="20"/>
          <w:lang w:val="el-GR"/>
        </w:rPr>
        <w:t xml:space="preserve">, </w:t>
      </w:r>
      <w:r w:rsidR="00F145EE">
        <w:rPr>
          <w:sz w:val="20"/>
          <w:lang w:val="el-GR"/>
        </w:rPr>
        <w:t>στο 11,8% του ΑΕΠ, ενώ</w:t>
      </w:r>
      <w:r w:rsidR="00BE233F">
        <w:rPr>
          <w:sz w:val="20"/>
          <w:lang w:val="el-GR"/>
        </w:rPr>
        <w:t>,</w:t>
      </w:r>
      <w:r w:rsidR="00F145EE">
        <w:rPr>
          <w:sz w:val="20"/>
          <w:lang w:val="el-GR"/>
        </w:rPr>
        <w:t xml:space="preserve"> τη διετία 2018-2019, παρά την άνοδο της οικονομικής δραστηριότητας, </w:t>
      </w:r>
      <w:r w:rsidR="002E2B31">
        <w:rPr>
          <w:sz w:val="20"/>
          <w:lang w:val="el-GR"/>
        </w:rPr>
        <w:t>κατέγραψαν</w:t>
      </w:r>
      <w:r w:rsidR="00F145EE">
        <w:rPr>
          <w:sz w:val="20"/>
          <w:lang w:val="el-GR"/>
        </w:rPr>
        <w:t xml:space="preserve"> εκ νέου πτώση.</w:t>
      </w:r>
      <w:r w:rsidR="002E2B31">
        <w:rPr>
          <w:sz w:val="20"/>
          <w:lang w:val="el-GR"/>
        </w:rPr>
        <w:t xml:space="preserve"> Σημειώνεται ότι η άνοδος του ΑΕΠ</w:t>
      </w:r>
      <w:r w:rsidR="00BE233F">
        <w:rPr>
          <w:sz w:val="20"/>
          <w:lang w:val="el-GR"/>
        </w:rPr>
        <w:t>,</w:t>
      </w:r>
      <w:r w:rsidR="002E2B31">
        <w:rPr>
          <w:sz w:val="20"/>
          <w:lang w:val="el-GR"/>
        </w:rPr>
        <w:t xml:space="preserve"> κατά το εν λόγω χρονικό διάστημα</w:t>
      </w:r>
      <w:r w:rsidR="00BE233F">
        <w:rPr>
          <w:sz w:val="20"/>
          <w:lang w:val="el-GR"/>
        </w:rPr>
        <w:t>,</w:t>
      </w:r>
      <w:r w:rsidR="002E2B31">
        <w:rPr>
          <w:sz w:val="20"/>
          <w:lang w:val="el-GR"/>
        </w:rPr>
        <w:t xml:space="preserve"> βασίστηκε</w:t>
      </w:r>
      <w:r w:rsidR="00131A05">
        <w:rPr>
          <w:sz w:val="20"/>
          <w:lang w:val="el-GR"/>
        </w:rPr>
        <w:t>, κατά το μεγαλύτερο μέρος,</w:t>
      </w:r>
      <w:r w:rsidR="002E2B31">
        <w:rPr>
          <w:sz w:val="20"/>
          <w:lang w:val="el-GR"/>
        </w:rPr>
        <w:t xml:space="preserve"> στην ιδιωτική κατανάλωση και τις καλές επιδόσεις του εξωτερικού τομέα της οικονομίας και κυρίως του τουρισμο</w:t>
      </w:r>
      <w:r w:rsidR="00AD009A">
        <w:rPr>
          <w:sz w:val="20"/>
          <w:lang w:val="el-GR"/>
        </w:rPr>
        <w:t>ύ.</w:t>
      </w:r>
      <w:r w:rsidR="00F145EE">
        <w:rPr>
          <w:sz w:val="20"/>
          <w:lang w:val="el-GR"/>
        </w:rPr>
        <w:t xml:space="preserve"> Όπως παρατηρείται στο γράφημα, από το 2012 και μετά</w:t>
      </w:r>
      <w:r w:rsidR="00FE0934">
        <w:rPr>
          <w:sz w:val="20"/>
          <w:lang w:val="el-GR"/>
        </w:rPr>
        <w:t>, οι</w:t>
      </w:r>
      <w:r w:rsidR="00F145EE">
        <w:rPr>
          <w:sz w:val="20"/>
          <w:lang w:val="el-GR"/>
        </w:rPr>
        <w:t xml:space="preserve"> συνιστ</w:t>
      </w:r>
      <w:r w:rsidR="00FE0934">
        <w:rPr>
          <w:sz w:val="20"/>
          <w:lang w:val="el-GR"/>
        </w:rPr>
        <w:t>ώσες</w:t>
      </w:r>
      <w:r w:rsidR="00F145EE">
        <w:rPr>
          <w:sz w:val="20"/>
          <w:lang w:val="el-GR"/>
        </w:rPr>
        <w:t xml:space="preserve"> των επενδύσεων που δ</w:t>
      </w:r>
      <w:r w:rsidR="00FE0934">
        <w:rPr>
          <w:sz w:val="20"/>
          <w:lang w:val="el-GR"/>
        </w:rPr>
        <w:t>έχτηκαν</w:t>
      </w:r>
      <w:r w:rsidR="00F145EE">
        <w:rPr>
          <w:sz w:val="20"/>
          <w:lang w:val="el-GR"/>
        </w:rPr>
        <w:t xml:space="preserve"> το μεγαλ</w:t>
      </w:r>
      <w:r w:rsidR="00FE0934">
        <w:rPr>
          <w:sz w:val="20"/>
          <w:lang w:val="el-GR"/>
        </w:rPr>
        <w:t>ύτερο</w:t>
      </w:r>
      <w:r w:rsidR="00F145EE">
        <w:rPr>
          <w:sz w:val="20"/>
          <w:lang w:val="el-GR"/>
        </w:rPr>
        <w:t xml:space="preserve"> πλήγμα ήταν οι επενδύσεις σε</w:t>
      </w:r>
      <w:r w:rsidR="00FE0934">
        <w:rPr>
          <w:sz w:val="20"/>
          <w:lang w:val="el-GR"/>
        </w:rPr>
        <w:t xml:space="preserve"> </w:t>
      </w:r>
      <w:r w:rsidR="00F145EE">
        <w:rPr>
          <w:sz w:val="20"/>
          <w:lang w:val="el-GR"/>
        </w:rPr>
        <w:t>κατασκευές, οι οποίες</w:t>
      </w:r>
      <w:r w:rsidR="00D06F15" w:rsidRPr="00D06F15">
        <w:rPr>
          <w:sz w:val="20"/>
          <w:lang w:val="el-GR"/>
        </w:rPr>
        <w:t xml:space="preserve"> </w:t>
      </w:r>
      <w:r w:rsidR="00F03A09">
        <w:rPr>
          <w:sz w:val="20"/>
          <w:lang w:val="el-GR"/>
        </w:rPr>
        <w:t>αντιστοιχούσαν</w:t>
      </w:r>
      <w:r w:rsidR="00BE233F">
        <w:rPr>
          <w:sz w:val="20"/>
          <w:lang w:val="el-GR"/>
        </w:rPr>
        <w:t>,</w:t>
      </w:r>
      <w:r w:rsidR="00D06F15" w:rsidRPr="00D06F15">
        <w:rPr>
          <w:sz w:val="20"/>
          <w:lang w:val="el-GR"/>
        </w:rPr>
        <w:t xml:space="preserve"> </w:t>
      </w:r>
      <w:r w:rsidR="00AD009A">
        <w:rPr>
          <w:sz w:val="20"/>
          <w:lang w:val="el-GR"/>
        </w:rPr>
        <w:t xml:space="preserve">το 2019, </w:t>
      </w:r>
      <w:r w:rsidR="00FE0934">
        <w:rPr>
          <w:sz w:val="20"/>
          <w:lang w:val="el-GR"/>
        </w:rPr>
        <w:t>σ</w:t>
      </w:r>
      <w:r w:rsidR="00F03A09">
        <w:rPr>
          <w:sz w:val="20"/>
          <w:lang w:val="el-GR"/>
        </w:rPr>
        <w:t>το</w:t>
      </w:r>
      <w:r w:rsidR="00FE0934">
        <w:rPr>
          <w:sz w:val="20"/>
          <w:lang w:val="el-GR"/>
        </w:rPr>
        <w:t xml:space="preserve"> 31% </w:t>
      </w:r>
      <w:r w:rsidR="00F03A09">
        <w:rPr>
          <w:sz w:val="20"/>
          <w:lang w:val="el-GR"/>
        </w:rPr>
        <w:t>(</w:t>
      </w:r>
      <w:r w:rsidR="00BD2FD2">
        <w:rPr>
          <w:sz w:val="20"/>
          <w:lang w:val="el-GR"/>
        </w:rPr>
        <w:t xml:space="preserve">Ευρώ </w:t>
      </w:r>
      <w:r w:rsidR="00872C38">
        <w:rPr>
          <w:sz w:val="20"/>
          <w:lang w:val="el-GR"/>
        </w:rPr>
        <w:t>5,9</w:t>
      </w:r>
      <w:r w:rsidR="00F03A09">
        <w:rPr>
          <w:sz w:val="20"/>
          <w:lang w:val="el-GR"/>
        </w:rPr>
        <w:t xml:space="preserve"> δι</w:t>
      </w:r>
      <w:r w:rsidR="00BD2FD2">
        <w:rPr>
          <w:sz w:val="20"/>
          <w:lang w:val="el-GR"/>
        </w:rPr>
        <w:t>σ.</w:t>
      </w:r>
      <w:r w:rsidR="00F03A09">
        <w:rPr>
          <w:sz w:val="20"/>
          <w:lang w:val="el-GR"/>
        </w:rPr>
        <w:t xml:space="preserve">) </w:t>
      </w:r>
      <w:r w:rsidR="00FE0934">
        <w:rPr>
          <w:sz w:val="20"/>
          <w:lang w:val="el-GR"/>
        </w:rPr>
        <w:t xml:space="preserve">των </w:t>
      </w:r>
      <w:r w:rsidR="002E2B31">
        <w:rPr>
          <w:sz w:val="20"/>
          <w:lang w:val="el-GR"/>
        </w:rPr>
        <w:t xml:space="preserve">συνολικών </w:t>
      </w:r>
      <w:r w:rsidR="00FE0934">
        <w:rPr>
          <w:sz w:val="20"/>
          <w:lang w:val="el-GR"/>
        </w:rPr>
        <w:t xml:space="preserve">επενδύσεων, από 59% </w:t>
      </w:r>
      <w:r w:rsidR="00F03A09">
        <w:rPr>
          <w:sz w:val="20"/>
          <w:lang w:val="el-GR"/>
        </w:rPr>
        <w:t>(</w:t>
      </w:r>
      <w:r w:rsidR="00BD2FD2">
        <w:rPr>
          <w:sz w:val="20"/>
          <w:lang w:val="el-GR"/>
        </w:rPr>
        <w:t xml:space="preserve">Ευρώ </w:t>
      </w:r>
      <w:r w:rsidR="00872C38">
        <w:rPr>
          <w:sz w:val="20"/>
          <w:lang w:val="el-GR"/>
        </w:rPr>
        <w:t>12,3</w:t>
      </w:r>
      <w:r w:rsidR="00F03A09">
        <w:rPr>
          <w:sz w:val="20"/>
          <w:lang w:val="el-GR"/>
        </w:rPr>
        <w:t xml:space="preserve"> δ</w:t>
      </w:r>
      <w:r w:rsidR="00BD2FD2">
        <w:rPr>
          <w:sz w:val="20"/>
          <w:lang w:val="el-GR"/>
        </w:rPr>
        <w:t>ισ.</w:t>
      </w:r>
      <w:r w:rsidR="00F03A09">
        <w:rPr>
          <w:sz w:val="20"/>
          <w:lang w:val="el-GR"/>
        </w:rPr>
        <w:t>) που ανέρχονταν</w:t>
      </w:r>
      <w:r w:rsidR="00BE233F">
        <w:rPr>
          <w:sz w:val="20"/>
          <w:lang w:val="el-GR"/>
        </w:rPr>
        <w:t>,</w:t>
      </w:r>
      <w:r w:rsidR="00F03A09">
        <w:rPr>
          <w:sz w:val="20"/>
          <w:lang w:val="el-GR"/>
        </w:rPr>
        <w:t xml:space="preserve"> </w:t>
      </w:r>
      <w:r w:rsidR="00FE0934">
        <w:rPr>
          <w:sz w:val="20"/>
          <w:lang w:val="el-GR"/>
        </w:rPr>
        <w:t>το 2012.</w:t>
      </w:r>
      <w:r>
        <w:rPr>
          <w:sz w:val="20"/>
          <w:lang w:val="el-GR"/>
        </w:rPr>
        <w:t xml:space="preserve"> </w:t>
      </w:r>
    </w:p>
    <w:p w14:paraId="08C5A4D6" w14:textId="77777777" w:rsidR="00871C34" w:rsidRPr="00871C34" w:rsidRDefault="00871C34" w:rsidP="00B06E6C">
      <w:pPr>
        <w:pStyle w:val="a4"/>
        <w:ind w:left="1758" w:right="227"/>
        <w:jc w:val="both"/>
        <w:rPr>
          <w:b/>
          <w:sz w:val="20"/>
          <w:lang w:val="el-GR"/>
        </w:rPr>
      </w:pPr>
    </w:p>
    <w:p w14:paraId="215169A1" w14:textId="2A869908" w:rsidR="00D06F15" w:rsidRDefault="00662788" w:rsidP="00B06E6C">
      <w:pPr>
        <w:pStyle w:val="a4"/>
        <w:ind w:left="1758" w:right="227"/>
        <w:jc w:val="both"/>
        <w:rPr>
          <w:sz w:val="20"/>
          <w:lang w:val="el-GR"/>
        </w:rPr>
      </w:pPr>
      <w:r>
        <w:rPr>
          <w:sz w:val="20"/>
          <w:lang w:val="el-GR"/>
        </w:rPr>
        <w:t>Εκτός από τις επενδύσεις σε κατασκευές</w:t>
      </w:r>
      <w:r w:rsidR="00BE233F">
        <w:rPr>
          <w:sz w:val="20"/>
          <w:lang w:val="el-GR"/>
        </w:rPr>
        <w:t>,</w:t>
      </w:r>
      <w:r>
        <w:rPr>
          <w:sz w:val="20"/>
          <w:lang w:val="el-GR"/>
        </w:rPr>
        <w:t xml:space="preserve"> το 2020, σημαντική άνοδο κατέγραψε και η ΑΠΑ του κλάδου, για το ίδιο έτος. Συγκεκριμένα, όπως παρατηρείται στο Γράφημα 2, η ΑΠΑ των κατασκευών αυξήθηκε κατά 10,4%</w:t>
      </w:r>
      <w:r w:rsidR="00BE233F">
        <w:rPr>
          <w:sz w:val="20"/>
          <w:lang w:val="el-GR"/>
        </w:rPr>
        <w:t>,</w:t>
      </w:r>
      <w:r>
        <w:rPr>
          <w:sz w:val="20"/>
          <w:lang w:val="el-GR"/>
        </w:rPr>
        <w:t xml:space="preserve"> το 2020, σε ετήσια βάση, έναντι ανόδου 1,5%</w:t>
      </w:r>
      <w:r w:rsidR="00BE233F">
        <w:rPr>
          <w:sz w:val="20"/>
          <w:lang w:val="el-GR"/>
        </w:rPr>
        <w:t>,</w:t>
      </w:r>
      <w:r>
        <w:rPr>
          <w:sz w:val="20"/>
          <w:lang w:val="el-GR"/>
        </w:rPr>
        <w:t xml:space="preserve"> το 2019.</w:t>
      </w:r>
      <w:r w:rsidRPr="00662788">
        <w:rPr>
          <w:sz w:val="20"/>
          <w:lang w:val="el-GR"/>
        </w:rPr>
        <w:t xml:space="preserve"> </w:t>
      </w:r>
      <w:r>
        <w:rPr>
          <w:sz w:val="20"/>
          <w:lang w:val="el-GR"/>
        </w:rPr>
        <w:t xml:space="preserve">Παράλληλα, </w:t>
      </w:r>
      <w:r w:rsidR="00873F37">
        <w:rPr>
          <w:sz w:val="20"/>
          <w:lang w:val="el-GR"/>
        </w:rPr>
        <w:t>ενισχύθηκαν</w:t>
      </w:r>
      <w:r>
        <w:rPr>
          <w:sz w:val="20"/>
          <w:lang w:val="el-GR"/>
        </w:rPr>
        <w:t xml:space="preserve"> οι επιχειρηματικές προσδοκίες στον κλάδο, αν και παρέμειναν αρνητικές. Ο εν λόγω δείκτης για τις ιδιωτικές κατασκευές </w:t>
      </w:r>
      <w:r w:rsidR="00182920">
        <w:rPr>
          <w:sz w:val="20"/>
          <w:lang w:val="el-GR"/>
        </w:rPr>
        <w:t>ανήλθε, κατά μέσο όρο</w:t>
      </w:r>
      <w:r w:rsidR="00BE233F">
        <w:rPr>
          <w:sz w:val="20"/>
          <w:lang w:val="el-GR"/>
        </w:rPr>
        <w:t>,</w:t>
      </w:r>
      <w:r w:rsidR="00182920">
        <w:rPr>
          <w:sz w:val="20"/>
          <w:lang w:val="el-GR"/>
        </w:rPr>
        <w:t xml:space="preserve"> σε -36,6 μονάδες</w:t>
      </w:r>
      <w:r w:rsidR="00BE233F">
        <w:rPr>
          <w:sz w:val="20"/>
          <w:lang w:val="el-GR"/>
        </w:rPr>
        <w:t>,</w:t>
      </w:r>
      <w:r w:rsidR="00182920">
        <w:rPr>
          <w:sz w:val="20"/>
          <w:lang w:val="el-GR"/>
        </w:rPr>
        <w:t xml:space="preserve"> το 2020, από -50,9</w:t>
      </w:r>
      <w:r w:rsidR="00BE233F">
        <w:rPr>
          <w:sz w:val="20"/>
          <w:lang w:val="el-GR"/>
        </w:rPr>
        <w:t>,</w:t>
      </w:r>
      <w:r w:rsidR="00182920">
        <w:rPr>
          <w:sz w:val="20"/>
          <w:lang w:val="el-GR"/>
        </w:rPr>
        <w:t xml:space="preserve"> το 2019, ενώ ο δείκτης για τις δημόσιες</w:t>
      </w:r>
      <w:r w:rsidR="0028420A">
        <w:rPr>
          <w:sz w:val="20"/>
          <w:lang w:val="el-GR"/>
        </w:rPr>
        <w:t xml:space="preserve"> κατασκευές,</w:t>
      </w:r>
      <w:r w:rsidR="00D06F15" w:rsidRPr="00D06F15">
        <w:rPr>
          <w:sz w:val="20"/>
          <w:lang w:val="el-GR"/>
        </w:rPr>
        <w:t xml:space="preserve"> </w:t>
      </w:r>
      <w:r w:rsidR="00556D17" w:rsidRPr="00556D17">
        <w:rPr>
          <w:sz w:val="20"/>
          <w:lang w:val="el-GR"/>
        </w:rPr>
        <w:t>βελτιώθηκε</w:t>
      </w:r>
      <w:r w:rsidR="00BE233F">
        <w:rPr>
          <w:sz w:val="20"/>
          <w:lang w:val="el-GR"/>
        </w:rPr>
        <w:t>,</w:t>
      </w:r>
      <w:r w:rsidR="00D06F15">
        <w:rPr>
          <w:sz w:val="20"/>
          <w:lang w:val="el-GR"/>
        </w:rPr>
        <w:t xml:space="preserve"> ελαφρώς</w:t>
      </w:r>
      <w:r w:rsidR="00BE233F">
        <w:rPr>
          <w:sz w:val="20"/>
          <w:lang w:val="el-GR"/>
        </w:rPr>
        <w:t>,</w:t>
      </w:r>
      <w:r w:rsidR="00D06F15">
        <w:rPr>
          <w:sz w:val="20"/>
          <w:lang w:val="el-GR"/>
        </w:rPr>
        <w:t xml:space="preserve"> πέρυσι, σε -60,5 μονάδες, από -61,4</w:t>
      </w:r>
      <w:r w:rsidR="00BE233F">
        <w:rPr>
          <w:sz w:val="20"/>
          <w:lang w:val="el-GR"/>
        </w:rPr>
        <w:t>,</w:t>
      </w:r>
      <w:r w:rsidR="00D06F15">
        <w:rPr>
          <w:sz w:val="20"/>
          <w:lang w:val="el-GR"/>
        </w:rPr>
        <w:t xml:space="preserve"> το 2019. Αξίζει να σημειωθεί ότι</w:t>
      </w:r>
      <w:r w:rsidR="00BE233F">
        <w:rPr>
          <w:sz w:val="20"/>
          <w:lang w:val="el-GR"/>
        </w:rPr>
        <w:t>,</w:t>
      </w:r>
      <w:r w:rsidR="00D06F15">
        <w:rPr>
          <w:sz w:val="20"/>
          <w:lang w:val="el-GR"/>
        </w:rPr>
        <w:t xml:space="preserve"> κατά τους πρώτους τέσσερις μήνες του τρέχοντος έτους, οι επιχειρηματικές προσδοκίες στις κατασκευές βελτιώθηκαν ραγδαία. Συγκεκριμένα</w:t>
      </w:r>
      <w:r w:rsidR="00BE233F">
        <w:rPr>
          <w:sz w:val="20"/>
          <w:lang w:val="el-GR"/>
        </w:rPr>
        <w:t>,</w:t>
      </w:r>
      <w:r w:rsidR="00D06F15">
        <w:rPr>
          <w:sz w:val="20"/>
          <w:lang w:val="el-GR"/>
        </w:rPr>
        <w:t xml:space="preserve"> οι δύο δείκτες διαμορφώθηκαν</w:t>
      </w:r>
      <w:r w:rsidR="00BE233F">
        <w:rPr>
          <w:sz w:val="20"/>
          <w:lang w:val="el-GR"/>
        </w:rPr>
        <w:t>,</w:t>
      </w:r>
      <w:r w:rsidR="00D06F15">
        <w:rPr>
          <w:sz w:val="20"/>
          <w:lang w:val="el-GR"/>
        </w:rPr>
        <w:t xml:space="preserve"> τον Απρίλιο 2021, σε θετικό έδαφος, για πρώτη φορά, από τον Αύγουστο 2008</w:t>
      </w:r>
      <w:r w:rsidR="00BE233F">
        <w:rPr>
          <w:sz w:val="20"/>
          <w:lang w:val="el-GR"/>
        </w:rPr>
        <w:t>,</w:t>
      </w:r>
      <w:r w:rsidR="00D06F15">
        <w:rPr>
          <w:sz w:val="20"/>
          <w:lang w:val="el-GR"/>
        </w:rPr>
        <w:t xml:space="preserve"> για τις ιδιωτικές κατασκευές και</w:t>
      </w:r>
      <w:r w:rsidR="00BE233F">
        <w:rPr>
          <w:sz w:val="20"/>
          <w:lang w:val="el-GR"/>
        </w:rPr>
        <w:t>,</w:t>
      </w:r>
      <w:r w:rsidR="00D06F15">
        <w:rPr>
          <w:sz w:val="20"/>
          <w:lang w:val="el-GR"/>
        </w:rPr>
        <w:t xml:space="preserve"> από τον Οκτώβριο 2014, αντίστοιχα, για τις δημόσιες κατασκευές. </w:t>
      </w:r>
    </w:p>
    <w:p w14:paraId="4B4E0EB1" w14:textId="77777777" w:rsidR="00662788" w:rsidRDefault="00662788" w:rsidP="00B06E6C">
      <w:pPr>
        <w:pStyle w:val="a4"/>
        <w:ind w:left="1758" w:right="227"/>
        <w:jc w:val="both"/>
        <w:rPr>
          <w:sz w:val="20"/>
          <w:lang w:val="el-GR"/>
        </w:rPr>
      </w:pPr>
    </w:p>
    <w:p w14:paraId="0C9687E7" w14:textId="039AF684" w:rsidR="00D06F15" w:rsidRDefault="00D06F15" w:rsidP="00B06E6C">
      <w:pPr>
        <w:pStyle w:val="a4"/>
        <w:ind w:left="1758" w:right="227"/>
        <w:jc w:val="both"/>
        <w:rPr>
          <w:sz w:val="20"/>
          <w:lang w:val="el-GR"/>
        </w:rPr>
      </w:pPr>
      <w:r>
        <w:rPr>
          <w:sz w:val="20"/>
          <w:lang w:val="el-GR"/>
        </w:rPr>
        <w:t>Οι ιδιαίτερες συνθήκες που επικράτησαν</w:t>
      </w:r>
      <w:r w:rsidR="00BE233F">
        <w:rPr>
          <w:sz w:val="20"/>
          <w:lang w:val="el-GR"/>
        </w:rPr>
        <w:t>,</w:t>
      </w:r>
      <w:r>
        <w:rPr>
          <w:sz w:val="20"/>
          <w:lang w:val="el-GR"/>
        </w:rPr>
        <w:t xml:space="preserve"> το 2020</w:t>
      </w:r>
      <w:r w:rsidR="00BE233F">
        <w:rPr>
          <w:sz w:val="20"/>
          <w:lang w:val="el-GR"/>
        </w:rPr>
        <w:t>,</w:t>
      </w:r>
      <w:r>
        <w:rPr>
          <w:sz w:val="20"/>
          <w:lang w:val="el-GR"/>
        </w:rPr>
        <w:t xml:space="preserve"> λόγω της πανδημίας, είχαν ως αποτέλεσμα μόνο τη</w:t>
      </w:r>
      <w:r w:rsidR="00C21380">
        <w:rPr>
          <w:sz w:val="20"/>
          <w:lang w:val="el-GR"/>
        </w:rPr>
        <w:t>ν</w:t>
      </w:r>
      <w:r>
        <w:rPr>
          <w:sz w:val="20"/>
          <w:lang w:val="el-GR"/>
        </w:rPr>
        <w:t xml:space="preserve"> αποδυνάμωση των ρυθμών αύξησης των τιμών των οικιστικών ακινήτων</w:t>
      </w:r>
      <w:r w:rsidR="00BE233F">
        <w:rPr>
          <w:sz w:val="20"/>
          <w:lang w:val="el-GR"/>
        </w:rPr>
        <w:t>,</w:t>
      </w:r>
      <w:r>
        <w:rPr>
          <w:color w:val="C00000"/>
          <w:sz w:val="20"/>
          <w:lang w:val="el-GR"/>
        </w:rPr>
        <w:t xml:space="preserve"> </w:t>
      </w:r>
      <w:r>
        <w:rPr>
          <w:sz w:val="20"/>
          <w:lang w:val="el-GR"/>
        </w:rPr>
        <w:t>συγκριτικά με τους αντίστοιχους</w:t>
      </w:r>
      <w:r w:rsidR="00AF48D0">
        <w:rPr>
          <w:sz w:val="20"/>
          <w:lang w:val="el-GR"/>
        </w:rPr>
        <w:t xml:space="preserve"> </w:t>
      </w:r>
    </w:p>
    <w:p w14:paraId="05E8561B" w14:textId="77777777" w:rsidR="00662788" w:rsidRDefault="00A43EF6" w:rsidP="00662788">
      <w:pPr>
        <w:pStyle w:val="a4"/>
        <w:ind w:left="1758" w:right="227"/>
        <w:jc w:val="both"/>
        <w:rPr>
          <w:sz w:val="20"/>
          <w:lang w:val="el-GR"/>
        </w:rPr>
      </w:pPr>
      <w:r>
        <w:rPr>
          <w:noProof/>
          <w:lang w:val="el-GR" w:eastAsia="el-GR"/>
        </w:rPr>
        <mc:AlternateContent>
          <mc:Choice Requires="wpg">
            <w:drawing>
              <wp:anchor distT="0" distB="0" distL="114300" distR="114300" simplePos="0" relativeHeight="251670528" behindDoc="1" locked="0" layoutInCell="1" allowOverlap="1" wp14:anchorId="2601C354" wp14:editId="2CAF2A49">
                <wp:simplePos x="0" y="0"/>
                <wp:positionH relativeFrom="column">
                  <wp:posOffset>0</wp:posOffset>
                </wp:positionH>
                <wp:positionV relativeFrom="paragraph">
                  <wp:posOffset>126678</wp:posOffset>
                </wp:positionV>
                <wp:extent cx="7199630" cy="3239770"/>
                <wp:effectExtent l="0" t="0" r="1270" b="0"/>
                <wp:wrapNone/>
                <wp:docPr id="5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39770"/>
                          <a:chOff x="0" y="0"/>
                          <a:chExt cx="71804"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6E5CF" w14:textId="77777777" w:rsidR="00C27AB6" w:rsidRPr="00E13B17" w:rsidRDefault="00C27AB6" w:rsidP="00D75593">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Pr>
                                  <w:rFonts w:ascii="Arial" w:hAnsi="Arial" w:cs="Arial"/>
                                  <w:color w:val="E24C37"/>
                                  <w:spacing w:val="-4"/>
                                  <w:sz w:val="18"/>
                                  <w:lang w:val="en-US"/>
                                </w:rPr>
                                <w:t>2</w:t>
                              </w:r>
                            </w:p>
                            <w:p w14:paraId="7B8B3559" w14:textId="77777777" w:rsidR="00C27AB6" w:rsidRPr="00E13B17" w:rsidRDefault="00C27AB6" w:rsidP="00D75593">
                              <w:pPr>
                                <w:jc w:val="center"/>
                                <w:rPr>
                                  <w:rFonts w:ascii="Arial" w:hAnsi="Arial" w:cs="Arial"/>
                                  <w:color w:val="E24C37"/>
                                  <w:spacing w:val="-4"/>
                                  <w:sz w:val="18"/>
                                  <w:lang w:val="en-US"/>
                                </w:rPr>
                              </w:pPr>
                            </w:p>
                            <w:p w14:paraId="268AA0FA" w14:textId="77777777" w:rsidR="00C27AB6" w:rsidRPr="00E13B17" w:rsidRDefault="00C27AB6" w:rsidP="00D75593">
                              <w:pPr>
                                <w:jc w:val="center"/>
                                <w:rPr>
                                  <w:rFonts w:ascii="Arial" w:hAnsi="Arial" w:cs="Arial"/>
                                  <w:color w:val="E24C37"/>
                                  <w:spacing w:val="-4"/>
                                  <w:sz w:val="18"/>
                                  <w:lang w:val="en-US"/>
                                </w:rPr>
                              </w:pPr>
                            </w:p>
                            <w:p w14:paraId="2F4E6439" w14:textId="77777777" w:rsidR="00C27AB6" w:rsidRPr="00E13B17" w:rsidRDefault="00C27AB6" w:rsidP="00D75593">
                              <w:pPr>
                                <w:jc w:val="center"/>
                                <w:rPr>
                                  <w:rFonts w:ascii="Arial" w:hAnsi="Arial" w:cs="Arial"/>
                                  <w:color w:val="E24C37"/>
                                  <w:spacing w:val="-4"/>
                                  <w:sz w:val="18"/>
                                  <w:lang w:val="en-US"/>
                                </w:rPr>
                              </w:pPr>
                            </w:p>
                            <w:p w14:paraId="6D67AA88" w14:textId="77777777" w:rsidR="00C27AB6" w:rsidRPr="00E13B17" w:rsidRDefault="00C27AB6" w:rsidP="00D75593">
                              <w:pPr>
                                <w:jc w:val="center"/>
                                <w:rPr>
                                  <w:rFonts w:ascii="Arial" w:hAnsi="Arial" w:cs="Arial"/>
                                  <w:color w:val="E24C37"/>
                                  <w:spacing w:val="-4"/>
                                  <w:sz w:val="18"/>
                                  <w:lang w:val="en-US"/>
                                </w:rPr>
                              </w:pPr>
                            </w:p>
                            <w:p w14:paraId="3D061CB7" w14:textId="77777777" w:rsidR="00C27AB6" w:rsidRPr="00E13B17" w:rsidRDefault="00C27AB6" w:rsidP="00D75593">
                              <w:pPr>
                                <w:jc w:val="center"/>
                                <w:rPr>
                                  <w:rFonts w:ascii="Arial" w:hAnsi="Arial" w:cs="Arial"/>
                                  <w:color w:val="E24C37"/>
                                  <w:spacing w:val="-4"/>
                                  <w:sz w:val="18"/>
                                  <w:lang w:val="en-US"/>
                                </w:rPr>
                              </w:pPr>
                            </w:p>
                            <w:p w14:paraId="2E887551" w14:textId="77777777" w:rsidR="00C27AB6" w:rsidRPr="00E13B17" w:rsidRDefault="00C27AB6" w:rsidP="00D75593">
                              <w:pPr>
                                <w:jc w:val="center"/>
                                <w:rPr>
                                  <w:rFonts w:ascii="Arial" w:hAnsi="Arial" w:cs="Arial"/>
                                  <w:color w:val="E24C37"/>
                                  <w:spacing w:val="-4"/>
                                  <w:sz w:val="18"/>
                                  <w:lang w:val="en-US"/>
                                </w:rPr>
                              </w:pPr>
                            </w:p>
                            <w:p w14:paraId="4409804A" w14:textId="77777777" w:rsidR="00C27AB6" w:rsidRPr="00E13B17" w:rsidRDefault="00C27AB6" w:rsidP="00D75593">
                              <w:pPr>
                                <w:jc w:val="center"/>
                                <w:rPr>
                                  <w:rFonts w:ascii="Arial" w:hAnsi="Arial" w:cs="Arial"/>
                                  <w:color w:val="E24C37"/>
                                  <w:spacing w:val="-4"/>
                                  <w:sz w:val="18"/>
                                  <w:lang w:val="en-US"/>
                                </w:rPr>
                              </w:pPr>
                            </w:p>
                            <w:p w14:paraId="3B8B64E2" w14:textId="77777777" w:rsidR="00C27AB6" w:rsidRDefault="00C27AB6" w:rsidP="00D75593">
                              <w:pPr>
                                <w:jc w:val="center"/>
                                <w:rPr>
                                  <w:rFonts w:ascii="Arial" w:hAnsi="Arial" w:cs="Arial"/>
                                  <w:color w:val="E24C37"/>
                                  <w:spacing w:val="-4"/>
                                  <w:sz w:val="18"/>
                                  <w:lang w:val="en-US"/>
                                </w:rPr>
                              </w:pPr>
                            </w:p>
                            <w:p w14:paraId="6DAA0F4F" w14:textId="77777777" w:rsidR="00C27AB6" w:rsidRDefault="00C27AB6" w:rsidP="00D75593">
                              <w:pPr>
                                <w:jc w:val="center"/>
                                <w:rPr>
                                  <w:rFonts w:ascii="Arial" w:hAnsi="Arial" w:cs="Arial"/>
                                  <w:color w:val="E24C37"/>
                                  <w:spacing w:val="-4"/>
                                  <w:sz w:val="18"/>
                                  <w:lang w:val="en-US"/>
                                </w:rPr>
                              </w:pPr>
                            </w:p>
                            <w:p w14:paraId="301A4867" w14:textId="77777777" w:rsidR="00C27AB6" w:rsidRPr="0031392D" w:rsidRDefault="00C27AB6" w:rsidP="00D75593">
                              <w:pPr>
                                <w:jc w:val="center"/>
                                <w:rPr>
                                  <w:rFonts w:ascii="Arial" w:hAnsi="Arial" w:cs="Arial"/>
                                  <w:color w:val="C00000"/>
                                  <w:sz w:val="18"/>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rPr>
                                <w:t>ΕΛΣΤΑΤ, Ευρωπαϊκή Επιτροπή</w:t>
                              </w:r>
                            </w:p>
                          </w:txbxContent>
                        </wps:txbx>
                        <wps:bodyPr rot="0" vert="horz" wrap="square" lIns="91440" tIns="45720" rIns="91440" bIns="45720" anchor="t" anchorCtr="0" upright="1">
                          <a:noAutofit/>
                        </wps:bodyPr>
                      </wps:wsp>
                      <wps:wsp>
                        <wps:cNvPr id="19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E3B84E" w14:textId="77777777" w:rsidR="00C27AB6" w:rsidRDefault="00C27AB6" w:rsidP="0031392D">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Η εξέλιξη της ΑΠΑ των κατασκευών και των επιχειρηματικών προσδοκιών σε ιδιωτικές και δημόσιες κατασκευές</w:t>
                              </w:r>
                            </w:p>
                            <w:p w14:paraId="3A224B19" w14:textId="77777777" w:rsidR="00C27AB6" w:rsidRDefault="00C27AB6" w:rsidP="0031392D">
                              <w:pPr>
                                <w:tabs>
                                  <w:tab w:val="left" w:pos="2410"/>
                                </w:tabs>
                                <w:spacing w:after="0" w:line="240" w:lineRule="auto"/>
                                <w:rPr>
                                  <w:rFonts w:ascii="Arial" w:eastAsia="Arial" w:hAnsi="Arial" w:cs="Arial"/>
                                  <w:color w:val="0E3B70"/>
                                  <w:sz w:val="20"/>
                                  <w:szCs w:val="20"/>
                                </w:rPr>
                              </w:pPr>
                              <w:r w:rsidRPr="00D75593">
                                <w:rPr>
                                  <w:rFonts w:ascii="Arial" w:eastAsia="Arial" w:hAnsi="Arial" w:cs="Arial"/>
                                  <w:noProof/>
                                  <w:color w:val="0E3B70"/>
                                  <w:sz w:val="20"/>
                                  <w:szCs w:val="20"/>
                                  <w:lang w:eastAsia="el-GR"/>
                                </w:rPr>
                                <w:drawing>
                                  <wp:inline distT="0" distB="0" distL="0" distR="0" wp14:anchorId="5EE83C8A" wp14:editId="0E675D6B">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0A7D1DA" w14:textId="77777777" w:rsidR="00C27AB6" w:rsidRDefault="004827D6" w:rsidP="00D75593">
                              <w:pPr>
                                <w:tabs>
                                  <w:tab w:val="left" w:pos="2410"/>
                                </w:tabs>
                                <w:spacing w:after="0" w:line="240" w:lineRule="auto"/>
                                <w:rPr>
                                  <w:rFonts w:ascii="Arial" w:eastAsia="Arial" w:hAnsi="Arial" w:cs="Arial"/>
                                  <w:color w:val="0E3B70"/>
                                  <w:sz w:val="20"/>
                                  <w:szCs w:val="20"/>
                                </w:rPr>
                              </w:pPr>
                              <w:r w:rsidRPr="004827D6">
                                <w:rPr>
                                  <w:noProof/>
                                  <w:lang w:eastAsia="el-GR"/>
                                </w:rPr>
                                <w:drawing>
                                  <wp:inline distT="0" distB="0" distL="0" distR="0" wp14:anchorId="2E7778D6" wp14:editId="38636E9A">
                                    <wp:extent cx="5829300" cy="2771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9300" cy="2771775"/>
                                            </a:xfrm>
                                            <a:prstGeom prst="rect">
                                              <a:avLst/>
                                            </a:prstGeom>
                                            <a:noFill/>
                                            <a:ln>
                                              <a:noFill/>
                                            </a:ln>
                                          </pic:spPr>
                                        </pic:pic>
                                      </a:graphicData>
                                    </a:graphic>
                                  </wp:inline>
                                </w:drawing>
                              </w:r>
                            </w:p>
                            <w:p w14:paraId="512A74E2" w14:textId="77777777" w:rsidR="00C27AB6" w:rsidRDefault="00C27AB6"/>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601C354" id="_x0000_s1029" style="position:absolute;left:0;text-align:left;margin-left:0;margin-top:9.95pt;width:566.9pt;height:255.1pt;z-index:-251645952;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">
                <v:rect id="Rectangle 24" o:spid="_x0000_s1030"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14:paraId="7966E5CF" w14:textId="77777777" w:rsidR="00C27AB6" w:rsidRPr="00E13B17" w:rsidRDefault="00C27AB6" w:rsidP="00D75593">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Pr>
                            <w:rFonts w:ascii="Arial" w:hAnsi="Arial" w:cs="Arial"/>
                            <w:color w:val="E24C37"/>
                            <w:spacing w:val="-4"/>
                            <w:sz w:val="18"/>
                            <w:lang w:val="en-US"/>
                          </w:rPr>
                          <w:t>2</w:t>
                        </w:r>
                      </w:p>
                      <w:p w14:paraId="7B8B3559" w14:textId="77777777" w:rsidR="00C27AB6" w:rsidRPr="00E13B17" w:rsidRDefault="00C27AB6" w:rsidP="00D75593">
                        <w:pPr>
                          <w:jc w:val="center"/>
                          <w:rPr>
                            <w:rFonts w:ascii="Arial" w:hAnsi="Arial" w:cs="Arial"/>
                            <w:color w:val="E24C37"/>
                            <w:spacing w:val="-4"/>
                            <w:sz w:val="18"/>
                            <w:lang w:val="en-US"/>
                          </w:rPr>
                        </w:pPr>
                      </w:p>
                      <w:p w14:paraId="268AA0FA" w14:textId="77777777" w:rsidR="00C27AB6" w:rsidRPr="00E13B17" w:rsidRDefault="00C27AB6" w:rsidP="00D75593">
                        <w:pPr>
                          <w:jc w:val="center"/>
                          <w:rPr>
                            <w:rFonts w:ascii="Arial" w:hAnsi="Arial" w:cs="Arial"/>
                            <w:color w:val="E24C37"/>
                            <w:spacing w:val="-4"/>
                            <w:sz w:val="18"/>
                            <w:lang w:val="en-US"/>
                          </w:rPr>
                        </w:pPr>
                      </w:p>
                      <w:p w14:paraId="2F4E6439" w14:textId="77777777" w:rsidR="00C27AB6" w:rsidRPr="00E13B17" w:rsidRDefault="00C27AB6" w:rsidP="00D75593">
                        <w:pPr>
                          <w:jc w:val="center"/>
                          <w:rPr>
                            <w:rFonts w:ascii="Arial" w:hAnsi="Arial" w:cs="Arial"/>
                            <w:color w:val="E24C37"/>
                            <w:spacing w:val="-4"/>
                            <w:sz w:val="18"/>
                            <w:lang w:val="en-US"/>
                          </w:rPr>
                        </w:pPr>
                      </w:p>
                      <w:p w14:paraId="6D67AA88" w14:textId="77777777" w:rsidR="00C27AB6" w:rsidRPr="00E13B17" w:rsidRDefault="00C27AB6" w:rsidP="00D75593">
                        <w:pPr>
                          <w:jc w:val="center"/>
                          <w:rPr>
                            <w:rFonts w:ascii="Arial" w:hAnsi="Arial" w:cs="Arial"/>
                            <w:color w:val="E24C37"/>
                            <w:spacing w:val="-4"/>
                            <w:sz w:val="18"/>
                            <w:lang w:val="en-US"/>
                          </w:rPr>
                        </w:pPr>
                      </w:p>
                      <w:p w14:paraId="3D061CB7" w14:textId="77777777" w:rsidR="00C27AB6" w:rsidRPr="00E13B17" w:rsidRDefault="00C27AB6" w:rsidP="00D75593">
                        <w:pPr>
                          <w:jc w:val="center"/>
                          <w:rPr>
                            <w:rFonts w:ascii="Arial" w:hAnsi="Arial" w:cs="Arial"/>
                            <w:color w:val="E24C37"/>
                            <w:spacing w:val="-4"/>
                            <w:sz w:val="18"/>
                            <w:lang w:val="en-US"/>
                          </w:rPr>
                        </w:pPr>
                      </w:p>
                      <w:p w14:paraId="2E887551" w14:textId="77777777" w:rsidR="00C27AB6" w:rsidRPr="00E13B17" w:rsidRDefault="00C27AB6" w:rsidP="00D75593">
                        <w:pPr>
                          <w:jc w:val="center"/>
                          <w:rPr>
                            <w:rFonts w:ascii="Arial" w:hAnsi="Arial" w:cs="Arial"/>
                            <w:color w:val="E24C37"/>
                            <w:spacing w:val="-4"/>
                            <w:sz w:val="18"/>
                            <w:lang w:val="en-US"/>
                          </w:rPr>
                        </w:pPr>
                      </w:p>
                      <w:p w14:paraId="4409804A" w14:textId="77777777" w:rsidR="00C27AB6" w:rsidRPr="00E13B17" w:rsidRDefault="00C27AB6" w:rsidP="00D75593">
                        <w:pPr>
                          <w:jc w:val="center"/>
                          <w:rPr>
                            <w:rFonts w:ascii="Arial" w:hAnsi="Arial" w:cs="Arial"/>
                            <w:color w:val="E24C37"/>
                            <w:spacing w:val="-4"/>
                            <w:sz w:val="18"/>
                            <w:lang w:val="en-US"/>
                          </w:rPr>
                        </w:pPr>
                      </w:p>
                      <w:p w14:paraId="3B8B64E2" w14:textId="77777777" w:rsidR="00C27AB6" w:rsidRDefault="00C27AB6" w:rsidP="00D75593">
                        <w:pPr>
                          <w:jc w:val="center"/>
                          <w:rPr>
                            <w:rFonts w:ascii="Arial" w:hAnsi="Arial" w:cs="Arial"/>
                            <w:color w:val="E24C37"/>
                            <w:spacing w:val="-4"/>
                            <w:sz w:val="18"/>
                            <w:lang w:val="en-US"/>
                          </w:rPr>
                        </w:pPr>
                      </w:p>
                      <w:p w14:paraId="6DAA0F4F" w14:textId="77777777" w:rsidR="00C27AB6" w:rsidRDefault="00C27AB6" w:rsidP="00D75593">
                        <w:pPr>
                          <w:jc w:val="center"/>
                          <w:rPr>
                            <w:rFonts w:ascii="Arial" w:hAnsi="Arial" w:cs="Arial"/>
                            <w:color w:val="E24C37"/>
                            <w:spacing w:val="-4"/>
                            <w:sz w:val="18"/>
                            <w:lang w:val="en-US"/>
                          </w:rPr>
                        </w:pPr>
                      </w:p>
                      <w:p w14:paraId="301A4867" w14:textId="77777777" w:rsidR="00C27AB6" w:rsidRPr="0031392D" w:rsidRDefault="00C27AB6" w:rsidP="00D75593">
                        <w:pPr>
                          <w:jc w:val="center"/>
                          <w:rPr>
                            <w:rFonts w:ascii="Arial" w:hAnsi="Arial" w:cs="Arial"/>
                            <w:color w:val="C00000"/>
                            <w:sz w:val="18"/>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rPr>
                          <w:t>ΕΛΣΤΑΤ, Ευρωπαϊκή Επιτροπή</w:t>
                        </w:r>
                      </w:p>
                    </w:txbxContent>
                  </v:textbox>
                </v:rect>
                <v:shape id="Freeform 364" o:spid="_x0000_s1031"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0BE3B84E" w14:textId="77777777" w:rsidR="00C27AB6" w:rsidRDefault="00C27AB6" w:rsidP="0031392D">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Η εξέλιξη της ΑΠΑ των κατασκευών και των επιχειρηματικών προσδοκιών σε ιδιωτικές και δημόσιες κατασκευές</w:t>
                        </w:r>
                      </w:p>
                      <w:p w14:paraId="3A224B19" w14:textId="77777777" w:rsidR="00C27AB6" w:rsidRDefault="00C27AB6" w:rsidP="0031392D">
                        <w:pPr>
                          <w:tabs>
                            <w:tab w:val="left" w:pos="2410"/>
                          </w:tabs>
                          <w:spacing w:after="0" w:line="240" w:lineRule="auto"/>
                          <w:rPr>
                            <w:rFonts w:ascii="Arial" w:eastAsia="Arial" w:hAnsi="Arial" w:cs="Arial"/>
                            <w:color w:val="0E3B70"/>
                            <w:sz w:val="20"/>
                            <w:szCs w:val="20"/>
                          </w:rPr>
                        </w:pPr>
                        <w:r w:rsidRPr="00D75593">
                          <w:rPr>
                            <w:rFonts w:ascii="Arial" w:eastAsia="Arial" w:hAnsi="Arial" w:cs="Arial"/>
                            <w:noProof/>
                            <w:color w:val="0E3B70"/>
                            <w:sz w:val="20"/>
                            <w:szCs w:val="20"/>
                            <w:lang w:eastAsia="el-GR"/>
                          </w:rPr>
                          <w:drawing>
                            <wp:inline distT="0" distB="0" distL="0" distR="0" wp14:anchorId="5EE83C8A" wp14:editId="0E675D6B">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0A7D1DA" w14:textId="77777777" w:rsidR="00C27AB6" w:rsidRDefault="004827D6" w:rsidP="00D75593">
                        <w:pPr>
                          <w:tabs>
                            <w:tab w:val="left" w:pos="2410"/>
                          </w:tabs>
                          <w:spacing w:after="0" w:line="240" w:lineRule="auto"/>
                          <w:rPr>
                            <w:rFonts w:ascii="Arial" w:eastAsia="Arial" w:hAnsi="Arial" w:cs="Arial"/>
                            <w:color w:val="0E3B70"/>
                            <w:sz w:val="20"/>
                            <w:szCs w:val="20"/>
                          </w:rPr>
                        </w:pPr>
                        <w:r w:rsidRPr="004827D6">
                          <w:rPr>
                            <w:noProof/>
                            <w:lang w:eastAsia="el-GR"/>
                          </w:rPr>
                          <w:drawing>
                            <wp:inline distT="0" distB="0" distL="0" distR="0" wp14:anchorId="2E7778D6" wp14:editId="38636E9A">
                              <wp:extent cx="5829300" cy="2771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9300" cy="2771775"/>
                                      </a:xfrm>
                                      <a:prstGeom prst="rect">
                                        <a:avLst/>
                                      </a:prstGeom>
                                      <a:noFill/>
                                      <a:ln>
                                        <a:noFill/>
                                      </a:ln>
                                    </pic:spPr>
                                  </pic:pic>
                                </a:graphicData>
                              </a:graphic>
                            </wp:inline>
                          </w:drawing>
                        </w:r>
                      </w:p>
                      <w:p w14:paraId="512A74E2" w14:textId="77777777" w:rsidR="00C27AB6" w:rsidRDefault="00C27AB6"/>
                    </w:txbxContent>
                  </v:textbox>
                </v:shape>
              </v:group>
            </w:pict>
          </mc:Fallback>
        </mc:AlternateContent>
      </w:r>
    </w:p>
    <w:p w14:paraId="3D3BEB3A" w14:textId="77777777" w:rsidR="00EF4D2A" w:rsidRDefault="00EF4D2A" w:rsidP="003307A5">
      <w:pPr>
        <w:pStyle w:val="a4"/>
        <w:ind w:left="1758" w:right="227"/>
        <w:jc w:val="both"/>
        <w:rPr>
          <w:sz w:val="20"/>
          <w:lang w:val="el-GR"/>
        </w:rPr>
      </w:pPr>
    </w:p>
    <w:p w14:paraId="3EBBEA5C" w14:textId="77777777" w:rsidR="00EF4D2A" w:rsidRDefault="00EF4D2A" w:rsidP="003307A5">
      <w:pPr>
        <w:pStyle w:val="a4"/>
        <w:ind w:left="1758" w:right="227"/>
        <w:jc w:val="both"/>
        <w:rPr>
          <w:lang w:val="el-GR"/>
        </w:rPr>
      </w:pPr>
    </w:p>
    <w:p w14:paraId="4A1AA08A" w14:textId="77777777" w:rsidR="00EF4D2A" w:rsidRDefault="00EF4D2A" w:rsidP="003307A5">
      <w:pPr>
        <w:pStyle w:val="a4"/>
        <w:ind w:left="1758" w:right="227"/>
        <w:jc w:val="both"/>
        <w:rPr>
          <w:lang w:val="el-GR"/>
        </w:rPr>
      </w:pPr>
    </w:p>
    <w:p w14:paraId="7A8DB528" w14:textId="77777777" w:rsidR="00D75593" w:rsidRDefault="00D75593" w:rsidP="003307A5">
      <w:pPr>
        <w:pStyle w:val="a4"/>
        <w:ind w:left="1758" w:right="227"/>
        <w:jc w:val="both"/>
        <w:rPr>
          <w:lang w:val="el-GR"/>
        </w:rPr>
      </w:pPr>
    </w:p>
    <w:p w14:paraId="296BB65F" w14:textId="77777777" w:rsidR="00D75593" w:rsidRDefault="00D75593" w:rsidP="003307A5">
      <w:pPr>
        <w:pStyle w:val="a4"/>
        <w:ind w:left="1758" w:right="227"/>
        <w:jc w:val="both"/>
        <w:rPr>
          <w:lang w:val="el-GR"/>
        </w:rPr>
      </w:pPr>
    </w:p>
    <w:p w14:paraId="24401149" w14:textId="77777777" w:rsidR="00D75593" w:rsidRDefault="00D75593" w:rsidP="003307A5">
      <w:pPr>
        <w:pStyle w:val="a4"/>
        <w:ind w:left="1758" w:right="227"/>
        <w:jc w:val="both"/>
        <w:rPr>
          <w:lang w:val="el-GR"/>
        </w:rPr>
      </w:pPr>
    </w:p>
    <w:p w14:paraId="48E3EEE4" w14:textId="77777777" w:rsidR="00D56AD2" w:rsidRPr="005F4DC6" w:rsidRDefault="00D56AD2" w:rsidP="00D56AD2">
      <w:pPr>
        <w:tabs>
          <w:tab w:val="left" w:pos="2410"/>
        </w:tabs>
        <w:spacing w:line="240" w:lineRule="auto"/>
        <w:jc w:val="center"/>
        <w:rPr>
          <w:rFonts w:ascii="Arial" w:hAnsi="Arial" w:cs="Arial"/>
          <w:sz w:val="20"/>
        </w:rPr>
      </w:pPr>
    </w:p>
    <w:p w14:paraId="6B5084B5" w14:textId="77777777" w:rsidR="00D75593" w:rsidRDefault="00D75593" w:rsidP="003307A5">
      <w:pPr>
        <w:pStyle w:val="a4"/>
        <w:ind w:left="1758" w:right="227"/>
        <w:jc w:val="both"/>
        <w:rPr>
          <w:lang w:val="el-GR"/>
        </w:rPr>
      </w:pPr>
    </w:p>
    <w:p w14:paraId="0AFFF278" w14:textId="77777777" w:rsidR="00D75593" w:rsidRDefault="00D75593" w:rsidP="003307A5">
      <w:pPr>
        <w:pStyle w:val="a4"/>
        <w:ind w:left="1758" w:right="227"/>
        <w:jc w:val="both"/>
        <w:rPr>
          <w:lang w:val="el-GR"/>
        </w:rPr>
      </w:pPr>
    </w:p>
    <w:p w14:paraId="1805897D" w14:textId="77777777" w:rsidR="00D75593" w:rsidRDefault="00D75593" w:rsidP="003307A5">
      <w:pPr>
        <w:pStyle w:val="a4"/>
        <w:ind w:left="1758" w:right="227"/>
        <w:jc w:val="both"/>
        <w:rPr>
          <w:lang w:val="el-GR"/>
        </w:rPr>
      </w:pPr>
    </w:p>
    <w:p w14:paraId="2778341D" w14:textId="77777777" w:rsidR="00D75593" w:rsidRDefault="00D75593" w:rsidP="003307A5">
      <w:pPr>
        <w:pStyle w:val="a4"/>
        <w:ind w:left="1758" w:right="227"/>
        <w:jc w:val="both"/>
        <w:rPr>
          <w:lang w:val="el-GR"/>
        </w:rPr>
      </w:pPr>
    </w:p>
    <w:p w14:paraId="4973FCC0" w14:textId="77777777" w:rsidR="00D75593" w:rsidRDefault="00D75593" w:rsidP="003307A5">
      <w:pPr>
        <w:pStyle w:val="a4"/>
        <w:ind w:left="1758" w:right="227"/>
        <w:jc w:val="both"/>
        <w:rPr>
          <w:lang w:val="el-GR"/>
        </w:rPr>
      </w:pPr>
    </w:p>
    <w:p w14:paraId="01B41EC8" w14:textId="77777777" w:rsidR="00D75593" w:rsidRDefault="00D75593" w:rsidP="003307A5">
      <w:pPr>
        <w:pStyle w:val="a4"/>
        <w:ind w:left="1758" w:right="227"/>
        <w:jc w:val="both"/>
        <w:rPr>
          <w:lang w:val="el-GR"/>
        </w:rPr>
      </w:pPr>
    </w:p>
    <w:p w14:paraId="760D87A4" w14:textId="77777777" w:rsidR="00D75593" w:rsidRDefault="00D75593" w:rsidP="003307A5">
      <w:pPr>
        <w:pStyle w:val="a4"/>
        <w:ind w:left="1758" w:right="227"/>
        <w:jc w:val="both"/>
        <w:rPr>
          <w:lang w:val="el-GR"/>
        </w:rPr>
      </w:pPr>
    </w:p>
    <w:p w14:paraId="00198623" w14:textId="77777777" w:rsidR="00D75593" w:rsidRDefault="00D75593" w:rsidP="003307A5">
      <w:pPr>
        <w:pStyle w:val="a4"/>
        <w:ind w:left="1758" w:right="227"/>
        <w:jc w:val="both"/>
        <w:rPr>
          <w:lang w:val="el-GR"/>
        </w:rPr>
      </w:pPr>
    </w:p>
    <w:p w14:paraId="6E3B91F4" w14:textId="77777777" w:rsidR="00D75593" w:rsidRDefault="00D75593" w:rsidP="003307A5">
      <w:pPr>
        <w:pStyle w:val="a4"/>
        <w:ind w:left="1758" w:right="227"/>
        <w:jc w:val="both"/>
        <w:rPr>
          <w:lang w:val="el-GR"/>
        </w:rPr>
      </w:pPr>
    </w:p>
    <w:p w14:paraId="7E5B220B" w14:textId="77777777" w:rsidR="00D75593" w:rsidRDefault="00D75593" w:rsidP="003307A5">
      <w:pPr>
        <w:pStyle w:val="a4"/>
        <w:ind w:left="1758" w:right="227"/>
        <w:jc w:val="both"/>
        <w:rPr>
          <w:lang w:val="el-GR"/>
        </w:rPr>
      </w:pPr>
    </w:p>
    <w:p w14:paraId="0935F6E9" w14:textId="77777777" w:rsidR="00D75593" w:rsidRDefault="00D75593" w:rsidP="003307A5">
      <w:pPr>
        <w:pStyle w:val="a4"/>
        <w:ind w:left="1758" w:right="227"/>
        <w:jc w:val="both"/>
        <w:rPr>
          <w:lang w:val="el-GR"/>
        </w:rPr>
      </w:pPr>
    </w:p>
    <w:p w14:paraId="764E064F" w14:textId="77777777" w:rsidR="00D75593" w:rsidRDefault="00D75593" w:rsidP="003307A5">
      <w:pPr>
        <w:pStyle w:val="a4"/>
        <w:ind w:left="1758" w:right="227"/>
        <w:jc w:val="both"/>
        <w:rPr>
          <w:lang w:val="el-GR"/>
        </w:rPr>
      </w:pPr>
    </w:p>
    <w:p w14:paraId="2A54F159" w14:textId="77777777" w:rsidR="0002490C" w:rsidRDefault="0002490C" w:rsidP="00E944C8">
      <w:pPr>
        <w:pStyle w:val="a4"/>
        <w:ind w:left="1758" w:right="227"/>
        <w:jc w:val="both"/>
        <w:rPr>
          <w:sz w:val="20"/>
          <w:lang w:val="el-GR"/>
        </w:rPr>
      </w:pPr>
    </w:p>
    <w:p w14:paraId="17BBA57F" w14:textId="77777777" w:rsidR="0002490C" w:rsidRDefault="0002490C" w:rsidP="00E944C8">
      <w:pPr>
        <w:pStyle w:val="a4"/>
        <w:ind w:left="1758" w:right="227"/>
        <w:jc w:val="both"/>
        <w:rPr>
          <w:sz w:val="20"/>
          <w:lang w:val="el-GR"/>
        </w:rPr>
      </w:pPr>
    </w:p>
    <w:p w14:paraId="14C8BB87" w14:textId="28F3326C" w:rsidR="00871C34" w:rsidRDefault="00F92F1F" w:rsidP="00B06E6C">
      <w:pPr>
        <w:pStyle w:val="a4"/>
        <w:spacing w:line="250" w:lineRule="auto"/>
        <w:ind w:left="1758" w:right="227"/>
        <w:jc w:val="both"/>
        <w:rPr>
          <w:sz w:val="20"/>
          <w:lang w:val="el-GR"/>
        </w:rPr>
      </w:pPr>
      <w:r>
        <w:rPr>
          <w:sz w:val="20"/>
          <w:lang w:val="el-GR"/>
        </w:rPr>
        <w:lastRenderedPageBreak/>
        <w:t>ρυθμούς του προηγούμενου έτους</w:t>
      </w:r>
      <w:r w:rsidRPr="00FA74D1">
        <w:rPr>
          <w:sz w:val="20"/>
          <w:lang w:val="el-GR"/>
        </w:rPr>
        <w:t>. Όπως απεικονίζεται στο Γράφημα 3, η αύξηση  που καταγράφηκε</w:t>
      </w:r>
      <w:r>
        <w:rPr>
          <w:sz w:val="20"/>
          <w:lang w:val="el-GR"/>
        </w:rPr>
        <w:t>,</w:t>
      </w:r>
      <w:r w:rsidRPr="00FA74D1">
        <w:rPr>
          <w:sz w:val="20"/>
          <w:lang w:val="el-GR"/>
        </w:rPr>
        <w:t xml:space="preserve"> το </w:t>
      </w:r>
      <w:r w:rsidR="00AF48D0" w:rsidRPr="002A70B9">
        <w:rPr>
          <w:sz w:val="20"/>
          <w:lang w:val="el-GR"/>
        </w:rPr>
        <w:t>2020</w:t>
      </w:r>
      <w:r w:rsidR="00BE233F" w:rsidRPr="002A70B9">
        <w:rPr>
          <w:sz w:val="20"/>
          <w:lang w:val="el-GR"/>
        </w:rPr>
        <w:t>,</w:t>
      </w:r>
      <w:r w:rsidR="00AF48D0" w:rsidRPr="002A70B9">
        <w:rPr>
          <w:sz w:val="20"/>
          <w:lang w:val="el-GR"/>
        </w:rPr>
        <w:t xml:space="preserve"> </w:t>
      </w:r>
      <w:r w:rsidR="00871C34" w:rsidRPr="002A70B9">
        <w:rPr>
          <w:sz w:val="20"/>
          <w:lang w:val="el-GR"/>
        </w:rPr>
        <w:t>κατά 4,</w:t>
      </w:r>
      <w:r w:rsidR="0068478C" w:rsidRPr="002A70B9">
        <w:rPr>
          <w:sz w:val="20"/>
          <w:lang w:val="el-GR"/>
        </w:rPr>
        <w:t>3</w:t>
      </w:r>
      <w:r w:rsidR="00871C34" w:rsidRPr="002A70B9">
        <w:rPr>
          <w:sz w:val="20"/>
          <w:lang w:val="el-GR"/>
        </w:rPr>
        <w:t>%</w:t>
      </w:r>
      <w:r w:rsidR="00BE233F" w:rsidRPr="002A70B9">
        <w:rPr>
          <w:sz w:val="20"/>
          <w:lang w:val="el-GR"/>
        </w:rPr>
        <w:t>,</w:t>
      </w:r>
      <w:r w:rsidR="00871C34" w:rsidRPr="002A70B9">
        <w:rPr>
          <w:sz w:val="20"/>
          <w:lang w:val="el-GR"/>
        </w:rPr>
        <w:t xml:space="preserve"> σε ετήσια βάση</w:t>
      </w:r>
      <w:r w:rsidR="00BE233F" w:rsidRPr="002A70B9">
        <w:rPr>
          <w:sz w:val="20"/>
          <w:lang w:val="el-GR"/>
        </w:rPr>
        <w:t>,</w:t>
      </w:r>
      <w:r w:rsidR="00871C34" w:rsidRPr="002A70B9">
        <w:rPr>
          <w:sz w:val="20"/>
          <w:lang w:val="el-GR"/>
        </w:rPr>
        <w:t xml:space="preserve"> ήταν ηπιότερη, έναντι του 7,2%</w:t>
      </w:r>
      <w:r w:rsidR="00BE233F" w:rsidRPr="002A70B9">
        <w:rPr>
          <w:sz w:val="20"/>
          <w:lang w:val="el-GR"/>
        </w:rPr>
        <w:t>,</w:t>
      </w:r>
      <w:r w:rsidR="00871C34" w:rsidRPr="002A70B9">
        <w:rPr>
          <w:sz w:val="20"/>
          <w:lang w:val="el-GR"/>
        </w:rPr>
        <w:t xml:space="preserve"> το 2019, αλλά μεγαλύτερη του 1,8%</w:t>
      </w:r>
      <w:r w:rsidR="00BE233F" w:rsidRPr="002A70B9">
        <w:rPr>
          <w:sz w:val="20"/>
          <w:lang w:val="el-GR"/>
        </w:rPr>
        <w:t>,</w:t>
      </w:r>
      <w:r w:rsidR="00871C34" w:rsidRPr="002A70B9">
        <w:rPr>
          <w:sz w:val="20"/>
          <w:lang w:val="el-GR"/>
        </w:rPr>
        <w:t xml:space="preserve"> το 2018. </w:t>
      </w:r>
      <w:r w:rsidR="002A70B9" w:rsidRPr="002A70B9">
        <w:rPr>
          <w:sz w:val="20"/>
          <w:lang w:val="el-GR"/>
        </w:rPr>
        <w:t>Επιπρόσθετα</w:t>
      </w:r>
      <w:r w:rsidR="00871C34" w:rsidRPr="002A70B9">
        <w:rPr>
          <w:sz w:val="20"/>
          <w:lang w:val="el-GR"/>
        </w:rPr>
        <w:t xml:space="preserve">, ο ρυθμός αύξησης </w:t>
      </w:r>
      <w:r w:rsidR="00E03F39" w:rsidRPr="002A70B9">
        <w:rPr>
          <w:sz w:val="20"/>
          <w:lang w:val="el-GR"/>
        </w:rPr>
        <w:t>της ιδιωτικής οικοδομικής δραστηριότητας</w:t>
      </w:r>
      <w:r w:rsidR="00BE233F" w:rsidRPr="002A70B9">
        <w:rPr>
          <w:sz w:val="20"/>
          <w:lang w:val="el-GR"/>
        </w:rPr>
        <w:t>,</w:t>
      </w:r>
      <w:r w:rsidR="009F7AB4" w:rsidRPr="002A70B9">
        <w:rPr>
          <w:sz w:val="20"/>
          <w:lang w:val="el-GR"/>
        </w:rPr>
        <w:t xml:space="preserve"> σε όρους όγκου που αντιστοιχεί στις νέες οικοδομικές άδειες που εκδόθηκαν</w:t>
      </w:r>
      <w:r w:rsidR="00871C34" w:rsidRPr="002A70B9">
        <w:rPr>
          <w:sz w:val="20"/>
          <w:lang w:val="el-GR"/>
        </w:rPr>
        <w:t>, επιβραδύνθηκε το 2020 (+5,9%), έναντι του 2019 (9,8%) και του 2018 (21,4%)</w:t>
      </w:r>
      <w:r w:rsidR="00A22E4C" w:rsidRPr="002A70B9">
        <w:rPr>
          <w:sz w:val="20"/>
          <w:lang w:val="el-GR"/>
        </w:rPr>
        <w:t>, αλλά παρέμεινε σε θετικό έδαφος</w:t>
      </w:r>
      <w:r w:rsidR="00C21380" w:rsidRPr="002A70B9">
        <w:rPr>
          <w:sz w:val="20"/>
          <w:lang w:val="el-GR"/>
        </w:rPr>
        <w:t>.</w:t>
      </w:r>
      <w:r w:rsidR="0068478C" w:rsidRPr="002A70B9">
        <w:rPr>
          <w:sz w:val="20"/>
          <w:lang w:val="el-GR"/>
        </w:rPr>
        <w:t xml:space="preserve"> Τα δύο μεγέθη συνέχισαν να ακολουθούν ανοδική τροχιά κατά τους πρώτους μήνες του 2021</w:t>
      </w:r>
      <w:r w:rsidR="009F7AB4" w:rsidRPr="002A70B9">
        <w:rPr>
          <w:sz w:val="20"/>
          <w:lang w:val="el-GR"/>
        </w:rPr>
        <w:t>. Συγκεκριμένα,</w:t>
      </w:r>
      <w:r w:rsidR="0068478C" w:rsidRPr="002A70B9">
        <w:rPr>
          <w:sz w:val="20"/>
          <w:lang w:val="el-GR"/>
        </w:rPr>
        <w:t xml:space="preserve"> </w:t>
      </w:r>
      <w:r w:rsidR="009F7AB4" w:rsidRPr="002A70B9">
        <w:rPr>
          <w:sz w:val="20"/>
          <w:lang w:val="el-GR"/>
        </w:rPr>
        <w:t>οι</w:t>
      </w:r>
      <w:r w:rsidR="0068478C" w:rsidRPr="002A70B9">
        <w:rPr>
          <w:sz w:val="20"/>
          <w:lang w:val="el-GR"/>
        </w:rPr>
        <w:t xml:space="preserve"> τιμές των οικιστικών ακινήτων </w:t>
      </w:r>
      <w:r w:rsidR="009F7AB4" w:rsidRPr="002A70B9">
        <w:rPr>
          <w:sz w:val="20"/>
          <w:lang w:val="el-GR"/>
        </w:rPr>
        <w:t>σημείωσαν</w:t>
      </w:r>
      <w:r w:rsidR="0068478C" w:rsidRPr="002A70B9">
        <w:rPr>
          <w:sz w:val="20"/>
          <w:lang w:val="el-GR"/>
        </w:rPr>
        <w:t xml:space="preserve"> αύξηση κατά 3,2%, σε ετήσια βάση, το πρώτο τρίμηνο και </w:t>
      </w:r>
      <w:r w:rsidR="009F7AB4" w:rsidRPr="002A70B9">
        <w:rPr>
          <w:sz w:val="20"/>
          <w:lang w:val="el-GR"/>
        </w:rPr>
        <w:t>η</w:t>
      </w:r>
      <w:r w:rsidR="0068478C" w:rsidRPr="002A70B9">
        <w:rPr>
          <w:sz w:val="20"/>
          <w:lang w:val="el-GR"/>
        </w:rPr>
        <w:t xml:space="preserve"> ιδιωτική οικοδομική δραστηριότητα</w:t>
      </w:r>
      <w:r w:rsidR="006D776F" w:rsidRPr="002A70B9">
        <w:rPr>
          <w:sz w:val="20"/>
          <w:lang w:val="el-GR"/>
        </w:rPr>
        <w:t>, σε όρους όγκου,</w:t>
      </w:r>
      <w:r w:rsidR="0068478C" w:rsidRPr="002A70B9">
        <w:rPr>
          <w:sz w:val="20"/>
          <w:lang w:val="el-GR"/>
        </w:rPr>
        <w:t xml:space="preserve"> </w:t>
      </w:r>
      <w:r w:rsidR="009F7AB4" w:rsidRPr="002A70B9">
        <w:rPr>
          <w:sz w:val="20"/>
          <w:lang w:val="el-GR"/>
        </w:rPr>
        <w:t>κατέγραψε</w:t>
      </w:r>
      <w:r w:rsidR="0068478C" w:rsidRPr="002A70B9">
        <w:rPr>
          <w:sz w:val="20"/>
          <w:lang w:val="el-GR"/>
        </w:rPr>
        <w:t xml:space="preserve"> </w:t>
      </w:r>
      <w:r w:rsidR="00820BC6" w:rsidRPr="002A70B9">
        <w:rPr>
          <w:sz w:val="20"/>
          <w:lang w:val="el-GR"/>
        </w:rPr>
        <w:t xml:space="preserve">άνοδο ύψους 13,3%, </w:t>
      </w:r>
      <w:r w:rsidR="0068478C" w:rsidRPr="002A70B9">
        <w:rPr>
          <w:sz w:val="20"/>
          <w:lang w:val="el-GR"/>
        </w:rPr>
        <w:t>την περίοδο Ιανουαρίου-Φεβρουαρίου</w:t>
      </w:r>
      <w:r w:rsidR="006D776F" w:rsidRPr="002A70B9">
        <w:rPr>
          <w:sz w:val="20"/>
          <w:lang w:val="el-GR"/>
        </w:rPr>
        <w:t>,</w:t>
      </w:r>
      <w:r w:rsidR="0068478C" w:rsidRPr="002A70B9">
        <w:rPr>
          <w:sz w:val="20"/>
          <w:lang w:val="el-GR"/>
        </w:rPr>
        <w:t xml:space="preserve"> σε σύγκριση με το ίδιο </w:t>
      </w:r>
      <w:r w:rsidR="004243D4" w:rsidRPr="002A70B9">
        <w:rPr>
          <w:sz w:val="20"/>
          <w:lang w:val="el-GR"/>
        </w:rPr>
        <w:t>διάστημα</w:t>
      </w:r>
      <w:r w:rsidR="0068478C" w:rsidRPr="002A70B9">
        <w:rPr>
          <w:sz w:val="20"/>
          <w:lang w:val="el-GR"/>
        </w:rPr>
        <w:t xml:space="preserve"> του 2020. </w:t>
      </w:r>
    </w:p>
    <w:p w14:paraId="73CEDAF8" w14:textId="77777777" w:rsidR="00871C34" w:rsidRDefault="00871C34" w:rsidP="00B06E6C">
      <w:pPr>
        <w:pStyle w:val="a4"/>
        <w:spacing w:line="250" w:lineRule="auto"/>
        <w:ind w:left="1758" w:right="227"/>
        <w:jc w:val="both"/>
        <w:rPr>
          <w:sz w:val="20"/>
          <w:lang w:val="el-GR"/>
        </w:rPr>
      </w:pPr>
    </w:p>
    <w:p w14:paraId="61B34D62" w14:textId="77777777" w:rsidR="00871C34" w:rsidRDefault="00871C34" w:rsidP="00B06E6C">
      <w:pPr>
        <w:pStyle w:val="a4"/>
        <w:spacing w:line="250" w:lineRule="auto"/>
        <w:ind w:left="1758" w:right="227"/>
        <w:jc w:val="both"/>
        <w:rPr>
          <w:sz w:val="20"/>
          <w:lang w:val="el-GR"/>
        </w:rPr>
      </w:pPr>
      <w:r w:rsidRPr="00481F2C">
        <w:rPr>
          <w:sz w:val="20"/>
          <w:lang w:val="el-GR"/>
        </w:rPr>
        <w:t xml:space="preserve">Οι παραπάνω εξελίξεις δείχνουν τη </w:t>
      </w:r>
      <w:r w:rsidR="00A22E4C">
        <w:rPr>
          <w:sz w:val="20"/>
          <w:lang w:val="el-GR"/>
        </w:rPr>
        <w:t>μεγάλη</w:t>
      </w:r>
      <w:r w:rsidRPr="00481F2C">
        <w:rPr>
          <w:sz w:val="20"/>
          <w:lang w:val="el-GR"/>
        </w:rPr>
        <w:t xml:space="preserve"> ανθεκτικότητα που επέδειξε η αγορά κατοικιών</w:t>
      </w:r>
      <w:r w:rsidR="00BE233F">
        <w:rPr>
          <w:sz w:val="20"/>
          <w:lang w:val="el-GR"/>
        </w:rPr>
        <w:t>,</w:t>
      </w:r>
      <w:r w:rsidRPr="00481F2C">
        <w:rPr>
          <w:sz w:val="20"/>
          <w:lang w:val="el-GR"/>
        </w:rPr>
        <w:t xml:space="preserve"> συγκριτικά με άλλους πληγέντες κλάδους</w:t>
      </w:r>
      <w:r w:rsidR="00BE233F">
        <w:rPr>
          <w:sz w:val="20"/>
          <w:lang w:val="el-GR"/>
        </w:rPr>
        <w:t>,</w:t>
      </w:r>
      <w:r w:rsidRPr="00481F2C">
        <w:rPr>
          <w:sz w:val="20"/>
          <w:lang w:val="el-GR"/>
        </w:rPr>
        <w:t xml:space="preserve"> το προηγούμενο έτος, </w:t>
      </w:r>
      <w:r w:rsidR="00A22E4C">
        <w:rPr>
          <w:sz w:val="20"/>
          <w:lang w:val="el-GR"/>
        </w:rPr>
        <w:t>παρά την υποχώρηση τ</w:t>
      </w:r>
      <w:r w:rsidRPr="00481F2C">
        <w:rPr>
          <w:sz w:val="20"/>
          <w:lang w:val="el-GR"/>
        </w:rPr>
        <w:t>η</w:t>
      </w:r>
      <w:r w:rsidR="00A22E4C">
        <w:rPr>
          <w:sz w:val="20"/>
          <w:lang w:val="el-GR"/>
        </w:rPr>
        <w:t>ς</w:t>
      </w:r>
      <w:r w:rsidRPr="00481F2C">
        <w:rPr>
          <w:sz w:val="20"/>
          <w:lang w:val="el-GR"/>
        </w:rPr>
        <w:t xml:space="preserve"> εισροή</w:t>
      </w:r>
      <w:r w:rsidR="00A22E4C">
        <w:rPr>
          <w:sz w:val="20"/>
          <w:lang w:val="el-GR"/>
        </w:rPr>
        <w:t>ς</w:t>
      </w:r>
      <w:r w:rsidRPr="00481F2C">
        <w:rPr>
          <w:sz w:val="20"/>
          <w:lang w:val="el-GR"/>
        </w:rPr>
        <w:t xml:space="preserve"> κεφαλαίων από το εξωτερικό για αγορά ακινήτων και </w:t>
      </w:r>
      <w:r w:rsidR="00D06F15">
        <w:rPr>
          <w:sz w:val="20"/>
          <w:lang w:val="el-GR"/>
        </w:rPr>
        <w:t>της</w:t>
      </w:r>
      <w:r w:rsidR="00D06F15" w:rsidRPr="00481F2C">
        <w:rPr>
          <w:sz w:val="20"/>
          <w:lang w:val="el-GR"/>
        </w:rPr>
        <w:t xml:space="preserve"> δραστηριότητ</w:t>
      </w:r>
      <w:r w:rsidR="00D06F15">
        <w:rPr>
          <w:sz w:val="20"/>
          <w:lang w:val="el-GR"/>
        </w:rPr>
        <w:t>ας</w:t>
      </w:r>
      <w:r w:rsidRPr="00481F2C">
        <w:rPr>
          <w:sz w:val="20"/>
          <w:lang w:val="el-GR"/>
        </w:rPr>
        <w:t xml:space="preserve"> στον κλάδο των βραχυχρόνιων μισθώσεων. </w:t>
      </w:r>
      <w:r>
        <w:rPr>
          <w:sz w:val="20"/>
          <w:lang w:val="el-GR"/>
        </w:rPr>
        <w:t>Το 2021 αναμένεται να είναι κομβικό έτος για τη δημιουργία νέων συνθηκών στην αγορά ακινήτων</w:t>
      </w:r>
      <w:r w:rsidR="00BE233F">
        <w:rPr>
          <w:sz w:val="20"/>
          <w:lang w:val="el-GR"/>
        </w:rPr>
        <w:t>,</w:t>
      </w:r>
      <w:r>
        <w:rPr>
          <w:sz w:val="20"/>
          <w:lang w:val="el-GR"/>
        </w:rPr>
        <w:t xml:space="preserve"> σε μακροχρόνιο ορίζοντα, οι οποίες θα βασιστούν σε συγκεκριμένους παράγοντες. </w:t>
      </w:r>
    </w:p>
    <w:p w14:paraId="36AC9B05" w14:textId="77777777" w:rsidR="00871C34" w:rsidRDefault="00871C34" w:rsidP="00B06E6C">
      <w:pPr>
        <w:pStyle w:val="a4"/>
        <w:spacing w:line="250" w:lineRule="auto"/>
        <w:ind w:left="1758" w:right="227"/>
        <w:jc w:val="both"/>
        <w:rPr>
          <w:sz w:val="20"/>
          <w:lang w:val="el-GR"/>
        </w:rPr>
      </w:pPr>
    </w:p>
    <w:p w14:paraId="16C3D04E" w14:textId="77777777" w:rsidR="00871C34" w:rsidRDefault="00871C34" w:rsidP="00B06E6C">
      <w:pPr>
        <w:pStyle w:val="a4"/>
        <w:numPr>
          <w:ilvl w:val="0"/>
          <w:numId w:val="6"/>
        </w:numPr>
        <w:spacing w:line="250" w:lineRule="auto"/>
        <w:ind w:left="2118" w:right="227"/>
        <w:jc w:val="both"/>
        <w:rPr>
          <w:sz w:val="20"/>
          <w:lang w:val="el-GR"/>
        </w:rPr>
      </w:pPr>
      <w:r w:rsidRPr="00365B85">
        <w:rPr>
          <w:i/>
          <w:sz w:val="20"/>
          <w:lang w:val="el-GR"/>
        </w:rPr>
        <w:t>Πρώτον</w:t>
      </w:r>
      <w:r>
        <w:rPr>
          <w:sz w:val="20"/>
          <w:lang w:val="el-GR"/>
        </w:rPr>
        <w:t xml:space="preserve">, στην αναμενόμενη μείωση της πληθυσμιακής κινητικότητας στα αστικά κέντρα και </w:t>
      </w:r>
      <w:r w:rsidR="005A00E0">
        <w:rPr>
          <w:sz w:val="20"/>
          <w:lang w:val="el-GR"/>
        </w:rPr>
        <w:t>τ</w:t>
      </w:r>
      <w:r>
        <w:rPr>
          <w:sz w:val="20"/>
          <w:lang w:val="el-GR"/>
        </w:rPr>
        <w:t>η μετακίνησή τους σε αποκεντρωμένες περιοχές, λόγω της αυξανόμενης διάδοσης της εξ αποστάσεως εργασίας</w:t>
      </w:r>
      <w:r w:rsidR="00365B85">
        <w:rPr>
          <w:sz w:val="20"/>
          <w:lang w:val="el-GR"/>
        </w:rPr>
        <w:t xml:space="preserve"> και </w:t>
      </w:r>
      <w:r>
        <w:rPr>
          <w:sz w:val="20"/>
          <w:lang w:val="el-GR"/>
        </w:rPr>
        <w:t xml:space="preserve">εκπαίδευσης. </w:t>
      </w:r>
    </w:p>
    <w:p w14:paraId="711B10BB" w14:textId="77777777" w:rsidR="00871C34" w:rsidRDefault="00871C34" w:rsidP="00B06E6C">
      <w:pPr>
        <w:pStyle w:val="a4"/>
        <w:spacing w:line="250" w:lineRule="auto"/>
        <w:ind w:left="2118" w:right="227"/>
        <w:jc w:val="both"/>
        <w:rPr>
          <w:sz w:val="20"/>
          <w:lang w:val="el-GR"/>
        </w:rPr>
      </w:pPr>
    </w:p>
    <w:p w14:paraId="365DD251" w14:textId="77777777" w:rsidR="00924307" w:rsidRDefault="00924307" w:rsidP="00B06E6C">
      <w:pPr>
        <w:pStyle w:val="a4"/>
        <w:numPr>
          <w:ilvl w:val="0"/>
          <w:numId w:val="6"/>
        </w:numPr>
        <w:spacing w:line="250" w:lineRule="auto"/>
        <w:ind w:left="2118" w:right="227"/>
        <w:jc w:val="both"/>
        <w:rPr>
          <w:sz w:val="20"/>
          <w:lang w:val="el-GR"/>
        </w:rPr>
      </w:pPr>
      <w:r w:rsidRPr="00365B85">
        <w:rPr>
          <w:i/>
          <w:sz w:val="20"/>
          <w:lang w:val="el-GR"/>
        </w:rPr>
        <w:t>Δεύτερον</w:t>
      </w:r>
      <w:r>
        <w:rPr>
          <w:sz w:val="20"/>
          <w:lang w:val="el-GR"/>
        </w:rPr>
        <w:t xml:space="preserve">, στη δρομολόγηση εμβληματικών έργων ανάπτυξης και υποδομών, όπως το έργο στο πρώην αεροδρόμιο του Ελληνικού, που πιθανόν να αυξήσουν τη ζήτηση των οικιστικών και των επαγγελματικών ακινήτων στην ευρύτερη περιοχή της πρωτεύουσας </w:t>
      </w:r>
      <w:r w:rsidR="00A22E4C">
        <w:rPr>
          <w:sz w:val="20"/>
          <w:lang w:val="el-GR"/>
        </w:rPr>
        <w:t>και</w:t>
      </w:r>
      <w:r w:rsidR="00BE233F">
        <w:rPr>
          <w:sz w:val="20"/>
          <w:lang w:val="el-GR"/>
        </w:rPr>
        <w:t>,</w:t>
      </w:r>
      <w:r w:rsidR="00A22E4C">
        <w:rPr>
          <w:sz w:val="20"/>
          <w:lang w:val="el-GR"/>
        </w:rPr>
        <w:t xml:space="preserve"> κυρίως</w:t>
      </w:r>
      <w:r w:rsidR="00BE233F">
        <w:rPr>
          <w:sz w:val="20"/>
          <w:lang w:val="el-GR"/>
        </w:rPr>
        <w:t>,</w:t>
      </w:r>
      <w:r w:rsidR="00A22E4C">
        <w:rPr>
          <w:sz w:val="20"/>
          <w:lang w:val="el-GR"/>
        </w:rPr>
        <w:t xml:space="preserve"> στο νότιο μέτωπο του οικιστικού ιστού.</w:t>
      </w:r>
    </w:p>
    <w:p w14:paraId="485A34FB" w14:textId="77777777" w:rsidR="00D06F15" w:rsidRDefault="00D06F15" w:rsidP="00B06E6C">
      <w:pPr>
        <w:pStyle w:val="a4"/>
        <w:spacing w:line="250" w:lineRule="auto"/>
        <w:ind w:left="2118" w:right="227"/>
        <w:jc w:val="both"/>
        <w:rPr>
          <w:sz w:val="20"/>
          <w:lang w:val="el-GR"/>
        </w:rPr>
      </w:pPr>
    </w:p>
    <w:p w14:paraId="47AF6CEE" w14:textId="77777777" w:rsidR="00D06F15" w:rsidRDefault="00D06F15" w:rsidP="00B06E6C">
      <w:pPr>
        <w:pStyle w:val="a4"/>
        <w:numPr>
          <w:ilvl w:val="0"/>
          <w:numId w:val="6"/>
        </w:numPr>
        <w:spacing w:line="250" w:lineRule="auto"/>
        <w:ind w:left="2118" w:right="227"/>
        <w:jc w:val="both"/>
        <w:rPr>
          <w:sz w:val="20"/>
          <w:lang w:val="el-GR"/>
        </w:rPr>
      </w:pPr>
      <w:r w:rsidRPr="00365B85">
        <w:rPr>
          <w:i/>
          <w:sz w:val="20"/>
          <w:lang w:val="el-GR"/>
        </w:rPr>
        <w:t>Τρίτον</w:t>
      </w:r>
      <w:r>
        <w:rPr>
          <w:sz w:val="20"/>
          <w:lang w:val="el-GR"/>
        </w:rPr>
        <w:t>, στην αναμενόμενη αναζωπύρωση του διεθνούς επενδυτικού ενδιαφέροντος για την αγορά ακινήτων, μετά το πέρας της πανδημίας και τη</w:t>
      </w:r>
      <w:r w:rsidR="00BE233F">
        <w:rPr>
          <w:sz w:val="20"/>
          <w:lang w:val="el-GR"/>
        </w:rPr>
        <w:t>ν</w:t>
      </w:r>
      <w:r>
        <w:rPr>
          <w:sz w:val="20"/>
          <w:lang w:val="el-GR"/>
        </w:rPr>
        <w:t xml:space="preserve"> αποκατάσταση της κανονικότητας στην οικονομία και ιδιαίτερα στον κλάδο του τουρισμού. </w:t>
      </w:r>
    </w:p>
    <w:p w14:paraId="2FF2C7F2" w14:textId="77777777" w:rsidR="00D06F15" w:rsidRDefault="00D06F15" w:rsidP="00D06F15">
      <w:pPr>
        <w:pStyle w:val="a4"/>
        <w:spacing w:line="249" w:lineRule="auto"/>
        <w:ind w:left="1758" w:right="170"/>
        <w:jc w:val="both"/>
        <w:rPr>
          <w:sz w:val="20"/>
          <w:lang w:val="el-GR"/>
        </w:rPr>
      </w:pPr>
    </w:p>
    <w:p w14:paraId="0FED4E75" w14:textId="77777777" w:rsidR="00D06F15" w:rsidRDefault="00D06F15" w:rsidP="00D06F15">
      <w:pPr>
        <w:pStyle w:val="a4"/>
        <w:ind w:left="1758" w:right="227"/>
        <w:jc w:val="both"/>
        <w:rPr>
          <w:lang w:val="el-GR"/>
        </w:rPr>
      </w:pPr>
    </w:p>
    <w:p w14:paraId="1DE7932E" w14:textId="77777777" w:rsidR="00D06F15" w:rsidRDefault="00D06F15" w:rsidP="00D06F15">
      <w:pPr>
        <w:pStyle w:val="1"/>
        <w:pBdr>
          <w:top w:val="single" w:sz="8" w:space="1" w:color="00B0F0"/>
          <w:bottom w:val="single" w:sz="8" w:space="1" w:color="00B0F0"/>
        </w:pBdr>
        <w:kinsoku w:val="0"/>
        <w:overflowPunct w:val="0"/>
        <w:ind w:left="1780" w:right="170"/>
        <w:rPr>
          <w:sz w:val="20"/>
          <w:highlight w:val="yellow"/>
        </w:rPr>
      </w:pPr>
      <w:r>
        <w:rPr>
          <w:color w:val="63A1AA"/>
        </w:rPr>
        <w:t>Ο</w:t>
      </w:r>
      <w:r w:rsidRPr="00567BC1">
        <w:rPr>
          <w:color w:val="63A1AA"/>
        </w:rPr>
        <w:t xml:space="preserve"> Κατασκευαστικός κλάδος στο Εθνικό Σχέδιο Ανάκαμψης και Ανθεκτικότητας</w:t>
      </w:r>
    </w:p>
    <w:p w14:paraId="580619C9" w14:textId="77777777" w:rsidR="00D06F15" w:rsidRDefault="00D06F15" w:rsidP="00D06F15">
      <w:pPr>
        <w:pStyle w:val="a4"/>
        <w:ind w:left="1758" w:right="227"/>
        <w:jc w:val="both"/>
        <w:rPr>
          <w:lang w:val="el-GR"/>
        </w:rPr>
      </w:pPr>
    </w:p>
    <w:p w14:paraId="7D181832" w14:textId="2A506643" w:rsidR="00D06F15" w:rsidRDefault="00D06F15" w:rsidP="00B06E6C">
      <w:pPr>
        <w:pStyle w:val="a4"/>
        <w:ind w:left="1758" w:right="227"/>
        <w:jc w:val="both"/>
        <w:rPr>
          <w:sz w:val="20"/>
          <w:lang w:val="el-GR"/>
        </w:rPr>
      </w:pPr>
      <w:r>
        <w:rPr>
          <w:sz w:val="20"/>
          <w:lang w:val="el-GR"/>
        </w:rPr>
        <w:t>Η αισιοδοξία που επικρατεί στον κλάδο των κατασκευών συμβαδίζει με τις προβλέψεις του Υπουργείου Οικονομικών για αξιοσημείωτη άνοδο των επενδύσεων</w:t>
      </w:r>
      <w:r w:rsidR="00BE233F">
        <w:rPr>
          <w:sz w:val="20"/>
          <w:lang w:val="el-GR"/>
        </w:rPr>
        <w:t>,</w:t>
      </w:r>
      <w:r>
        <w:rPr>
          <w:sz w:val="20"/>
          <w:lang w:val="el-GR"/>
        </w:rPr>
        <w:t xml:space="preserve"> την επόμενη </w:t>
      </w:r>
      <w:r w:rsidR="00FA74D1">
        <w:rPr>
          <w:sz w:val="20"/>
          <w:lang w:val="el-GR"/>
        </w:rPr>
        <w:t>τετραετία</w:t>
      </w:r>
      <w:r>
        <w:rPr>
          <w:sz w:val="20"/>
          <w:lang w:val="el-GR"/>
        </w:rPr>
        <w:t xml:space="preserve"> </w:t>
      </w:r>
      <w:r w:rsidR="00362E34" w:rsidRPr="00FA74D1">
        <w:rPr>
          <w:sz w:val="20"/>
          <w:lang w:val="el-GR"/>
        </w:rPr>
        <w:t>(</w:t>
      </w:r>
      <w:r>
        <w:rPr>
          <w:sz w:val="20"/>
          <w:lang w:val="el-GR"/>
        </w:rPr>
        <w:t>Γράφημα 1</w:t>
      </w:r>
      <w:r w:rsidR="00362E34" w:rsidRPr="00FA74D1">
        <w:rPr>
          <w:sz w:val="20"/>
          <w:lang w:val="el-GR"/>
        </w:rPr>
        <w:t>)</w:t>
      </w:r>
      <w:r>
        <w:rPr>
          <w:sz w:val="20"/>
          <w:lang w:val="el-GR"/>
        </w:rPr>
        <w:t xml:space="preserve">, κυρίως λόγω της </w:t>
      </w:r>
      <w:r w:rsidRPr="00E464AA">
        <w:rPr>
          <w:sz w:val="20"/>
          <w:lang w:val="el-GR"/>
        </w:rPr>
        <w:t>εισροή</w:t>
      </w:r>
      <w:r>
        <w:rPr>
          <w:sz w:val="20"/>
          <w:lang w:val="el-GR"/>
        </w:rPr>
        <w:t>ς των</w:t>
      </w:r>
      <w:r w:rsidRPr="00E464AA">
        <w:rPr>
          <w:sz w:val="20"/>
          <w:lang w:val="el-GR"/>
        </w:rPr>
        <w:t xml:space="preserve"> πόρων από το Ευρωπαϊκό Ταμείο Ανάκαμψης</w:t>
      </w:r>
      <w:r w:rsidR="0083289C">
        <w:rPr>
          <w:sz w:val="20"/>
          <w:lang w:val="el-GR"/>
        </w:rPr>
        <w:t>,</w:t>
      </w:r>
      <w:r>
        <w:rPr>
          <w:sz w:val="20"/>
          <w:lang w:val="el-GR"/>
        </w:rPr>
        <w:t xml:space="preserve"> αλλά και επιπρόσθετων ιδιωτικών πόρων που αναμένεται να κινητοποιηθούν, συμβάλλοντας στην άνοδο του ΑΕΠ αλλά και στη μεταστροφή του </w:t>
      </w:r>
      <w:r w:rsidRPr="00E464AA">
        <w:rPr>
          <w:sz w:val="20"/>
          <w:lang w:val="el-GR"/>
        </w:rPr>
        <w:t>παραγωγικού μοντέλου της ελληνικής οικονομίας</w:t>
      </w:r>
      <w:r>
        <w:rPr>
          <w:sz w:val="20"/>
          <w:lang w:val="el-GR"/>
        </w:rPr>
        <w:t xml:space="preserve"> (βλ. </w:t>
      </w:r>
      <w:hyperlink r:id="rId21" w:history="1">
        <w:r w:rsidRPr="00872C38">
          <w:rPr>
            <w:rStyle w:val="-"/>
            <w:sz w:val="20"/>
            <w:lang w:val="el-GR"/>
          </w:rPr>
          <w:t>Εβδομαδιαίο Δελτίο Οικονομικών Εξελίξεων 12.5.2021</w:t>
        </w:r>
      </w:hyperlink>
      <w:r w:rsidRPr="001254E9">
        <w:rPr>
          <w:sz w:val="20"/>
          <w:lang w:val="el-GR"/>
        </w:rPr>
        <w:t>)</w:t>
      </w:r>
      <w:r>
        <w:rPr>
          <w:sz w:val="20"/>
          <w:lang w:val="el-GR"/>
        </w:rPr>
        <w:t>.</w:t>
      </w:r>
      <w:r w:rsidRPr="001254E9">
        <w:rPr>
          <w:sz w:val="20"/>
          <w:lang w:val="el-GR"/>
        </w:rPr>
        <w:t xml:space="preserve"> </w:t>
      </w:r>
      <w:r w:rsidRPr="00567BC1">
        <w:rPr>
          <w:sz w:val="20"/>
          <w:lang w:val="el-GR"/>
        </w:rPr>
        <w:t xml:space="preserve">Το Εθνικό Σχέδιο Ανάκαμψης και </w:t>
      </w:r>
      <w:r w:rsidRPr="005175FA">
        <w:rPr>
          <w:sz w:val="20"/>
          <w:lang w:val="el-GR"/>
        </w:rPr>
        <w:t>Ανθεκτικότητας</w:t>
      </w:r>
      <w:r w:rsidRPr="00567BC1">
        <w:rPr>
          <w:sz w:val="20"/>
          <w:lang w:val="el-GR"/>
        </w:rPr>
        <w:t xml:space="preserve">, γνωστό ως «Ελλάδα 2.0», στοχεύει </w:t>
      </w:r>
      <w:r w:rsidR="00362E34">
        <w:rPr>
          <w:sz w:val="20"/>
          <w:lang w:val="el-GR"/>
        </w:rPr>
        <w:t>ακριβώς σε αυτήν τη μεταστροφή</w:t>
      </w:r>
      <w:r w:rsidR="00362E34" w:rsidRPr="00FA74D1">
        <w:rPr>
          <w:sz w:val="20"/>
          <w:lang w:val="el-GR"/>
        </w:rPr>
        <w:t>,</w:t>
      </w:r>
      <w:r w:rsidRPr="00567BC1">
        <w:rPr>
          <w:sz w:val="20"/>
          <w:lang w:val="el-GR"/>
        </w:rPr>
        <w:t xml:space="preserve"> μέσα από επενδυτικές δράσεις και προωθούμενες μεταρρυθμίσεις, οι οποίες εν πολλοίς στηρίζονται σε τέσσερις βασικούς πυλώνες: 1) πράσινη μετάβαση, 2) ψηφιακή μετάβαση, 3) απασχόληση, δεξιότητες, κοινωνική συνοχή και 4) ιδιωτικές επενδύσεις και μετασχηματισμός της οικονομίας. </w:t>
      </w:r>
    </w:p>
    <w:p w14:paraId="15F09CE2" w14:textId="32BB4ECF" w:rsidR="00871C34" w:rsidRDefault="00E114D6" w:rsidP="00871C34">
      <w:pPr>
        <w:ind w:left="1758" w:right="227"/>
        <w:jc w:val="both"/>
        <w:rPr>
          <w:rFonts w:ascii="Arial" w:eastAsia="Arial" w:hAnsi="Arial" w:cs="Arial"/>
          <w:sz w:val="20"/>
          <w:szCs w:val="19"/>
        </w:rPr>
      </w:pPr>
      <w:r>
        <w:rPr>
          <w:noProof/>
          <w:lang w:eastAsia="el-GR"/>
        </w:rPr>
        <mc:AlternateContent>
          <mc:Choice Requires="wpg">
            <w:drawing>
              <wp:anchor distT="0" distB="0" distL="114300" distR="114300" simplePos="0" relativeHeight="251672576" behindDoc="1" locked="0" layoutInCell="1" allowOverlap="1" wp14:anchorId="56F5F1E8" wp14:editId="1A32DA30">
                <wp:simplePos x="0" y="0"/>
                <wp:positionH relativeFrom="margin">
                  <wp:posOffset>0</wp:posOffset>
                </wp:positionH>
                <wp:positionV relativeFrom="paragraph">
                  <wp:posOffset>48895</wp:posOffset>
                </wp:positionV>
                <wp:extent cx="7224395" cy="3275965"/>
                <wp:effectExtent l="0" t="0" r="0" b="635"/>
                <wp:wrapNone/>
                <wp:docPr id="39" name="Group 39"/>
                <wp:cNvGraphicFramePr/>
                <a:graphic xmlns:a="http://schemas.openxmlformats.org/drawingml/2006/main">
                  <a:graphicData uri="http://schemas.microsoft.com/office/word/2010/wordprocessingGroup">
                    <wpg:wgp>
                      <wpg:cNvGrpSpPr/>
                      <wpg:grpSpPr bwMode="auto">
                        <a:xfrm>
                          <a:off x="0" y="0"/>
                          <a:ext cx="7224395" cy="3275965"/>
                          <a:chOff x="0" y="0"/>
                          <a:chExt cx="72247" cy="25542"/>
                        </a:xfrm>
                      </wpg:grpSpPr>
                      <wps:wsp>
                        <wps:cNvPr id="63" name="Rectangle 63"/>
                        <wps:cNvSpPr>
                          <a:spLocks noChangeArrowheads="1"/>
                        </wps:cNvSpPr>
                        <wps:spPr bwMode="auto">
                          <a:xfrm>
                            <a:off x="0" y="0"/>
                            <a:ext cx="10090" cy="25542"/>
                          </a:xfrm>
                          <a:prstGeom prst="rect">
                            <a:avLst/>
                          </a:prstGeom>
                          <a:solidFill>
                            <a:srgbClr val="E5E4DE"/>
                          </a:solidFill>
                          <a:ln>
                            <a:noFill/>
                          </a:ln>
                          <a:extLst>
                            <a:ext uri="{91240B29-F687-4f45-9708-019B960494DF}">
                              <a14:hiddenLine xmlns:lc="http://schemas.openxmlformats.org/drawingml/2006/lockedCanva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8372CA" w14:textId="77777777" w:rsidR="00871C34" w:rsidRDefault="00871C34" w:rsidP="00871C34">
                              <w:pPr>
                                <w:jc w:val="center"/>
                                <w:rPr>
                                  <w:rFonts w:ascii="Arial" w:hAnsi="Arial" w:cs="Arial"/>
                                  <w:color w:val="E24C37"/>
                                  <w:spacing w:val="-4"/>
                                  <w:sz w:val="18"/>
                                </w:rPr>
                              </w:pPr>
                              <w:r>
                                <w:rPr>
                                  <w:rFonts w:ascii="Arial" w:hAnsi="Arial" w:cs="Arial"/>
                                  <w:color w:val="E24C37"/>
                                  <w:spacing w:val="-4"/>
                                  <w:sz w:val="18"/>
                                </w:rPr>
                                <w:br/>
                              </w:r>
                              <w:r>
                                <w:rPr>
                                  <w:rFonts w:ascii="Arial" w:hAnsi="Arial" w:cs="Arial"/>
                                  <w:color w:val="FF0000"/>
                                  <w:spacing w:val="-4"/>
                                  <w:sz w:val="18"/>
                                </w:rPr>
                                <w:t>ΓΡΑΦΗ</w:t>
                              </w:r>
                              <w:r w:rsidR="00290A3E">
                                <w:rPr>
                                  <w:rFonts w:ascii="Arial" w:hAnsi="Arial" w:cs="Arial"/>
                                  <w:color w:val="FF0000"/>
                                  <w:spacing w:val="-4"/>
                                  <w:sz w:val="18"/>
                                </w:rPr>
                                <w:t>ΜΑ 3</w:t>
                              </w:r>
                            </w:p>
                            <w:p w14:paraId="7BD7657A" w14:textId="77777777" w:rsidR="00871C34" w:rsidRDefault="00871C34" w:rsidP="00871C34">
                              <w:pPr>
                                <w:jc w:val="center"/>
                                <w:rPr>
                                  <w:rFonts w:ascii="Arial" w:hAnsi="Arial" w:cs="Arial"/>
                                  <w:color w:val="E24C37"/>
                                  <w:spacing w:val="-4"/>
                                  <w:sz w:val="18"/>
                                </w:rPr>
                              </w:pPr>
                            </w:p>
                            <w:p w14:paraId="115CFF12" w14:textId="77777777" w:rsidR="00871C34" w:rsidRDefault="00871C34" w:rsidP="00871C34">
                              <w:pPr>
                                <w:jc w:val="center"/>
                                <w:rPr>
                                  <w:rFonts w:ascii="Arial" w:hAnsi="Arial" w:cs="Arial"/>
                                  <w:color w:val="E24C37"/>
                                  <w:spacing w:val="-4"/>
                                  <w:sz w:val="18"/>
                                </w:rPr>
                              </w:pPr>
                            </w:p>
                            <w:p w14:paraId="37B211DB" w14:textId="77777777" w:rsidR="00871C34" w:rsidRDefault="00871C34" w:rsidP="00871C34">
                              <w:pPr>
                                <w:jc w:val="center"/>
                                <w:rPr>
                                  <w:rFonts w:ascii="Arial" w:hAnsi="Arial" w:cs="Arial"/>
                                  <w:color w:val="E24C37"/>
                                  <w:spacing w:val="-4"/>
                                  <w:sz w:val="18"/>
                                </w:rPr>
                              </w:pPr>
                            </w:p>
                            <w:p w14:paraId="4563E0DD" w14:textId="77777777" w:rsidR="00871C34" w:rsidRDefault="00871C34" w:rsidP="00871C34">
                              <w:pPr>
                                <w:jc w:val="center"/>
                                <w:rPr>
                                  <w:rFonts w:ascii="Arial" w:hAnsi="Arial" w:cs="Arial"/>
                                  <w:color w:val="E24C37"/>
                                  <w:spacing w:val="-4"/>
                                  <w:sz w:val="18"/>
                                </w:rPr>
                              </w:pPr>
                            </w:p>
                            <w:p w14:paraId="23B6641D" w14:textId="77777777" w:rsidR="00871C34" w:rsidRDefault="00871C34" w:rsidP="00871C34">
                              <w:pPr>
                                <w:jc w:val="center"/>
                                <w:rPr>
                                  <w:rFonts w:ascii="Arial" w:hAnsi="Arial" w:cs="Arial"/>
                                  <w:color w:val="E24C37"/>
                                  <w:spacing w:val="-4"/>
                                  <w:sz w:val="18"/>
                                </w:rPr>
                              </w:pPr>
                            </w:p>
                            <w:p w14:paraId="272B809B" w14:textId="77777777" w:rsidR="00871C34" w:rsidRDefault="00871C34" w:rsidP="00871C34">
                              <w:pPr>
                                <w:jc w:val="center"/>
                                <w:rPr>
                                  <w:rFonts w:ascii="Arial" w:hAnsi="Arial" w:cs="Arial"/>
                                  <w:color w:val="E24C37"/>
                                  <w:spacing w:val="-4"/>
                                  <w:sz w:val="18"/>
                                </w:rPr>
                              </w:pPr>
                            </w:p>
                            <w:p w14:paraId="4AF18C81" w14:textId="77777777" w:rsidR="00871C34" w:rsidRDefault="00871C34" w:rsidP="00871C34">
                              <w:pPr>
                                <w:jc w:val="center"/>
                                <w:rPr>
                                  <w:rFonts w:ascii="Arial" w:hAnsi="Arial" w:cs="Arial"/>
                                  <w:color w:val="E24C37"/>
                                  <w:spacing w:val="-4"/>
                                  <w:sz w:val="18"/>
                                </w:rPr>
                              </w:pPr>
                            </w:p>
                            <w:p w14:paraId="2FA814AB" w14:textId="77777777" w:rsidR="00871C34" w:rsidRDefault="00871C34" w:rsidP="00871C34">
                              <w:pPr>
                                <w:jc w:val="center"/>
                                <w:rPr>
                                  <w:rFonts w:ascii="Arial" w:hAnsi="Arial" w:cs="Arial"/>
                                  <w:color w:val="E24C37"/>
                                  <w:spacing w:val="-4"/>
                                  <w:sz w:val="18"/>
                                </w:rPr>
                              </w:pPr>
                            </w:p>
                            <w:p w14:paraId="5E2DBBDC" w14:textId="77777777" w:rsidR="00871C34" w:rsidRDefault="00871C34" w:rsidP="00871C34">
                              <w:pPr>
                                <w:jc w:val="center"/>
                                <w:rPr>
                                  <w:rFonts w:ascii="Arial" w:hAnsi="Arial" w:cs="Arial"/>
                                  <w:color w:val="E24C37"/>
                                  <w:spacing w:val="-4"/>
                                  <w:sz w:val="18"/>
                                </w:rPr>
                              </w:pPr>
                            </w:p>
                            <w:p w14:paraId="1B8CDBAA" w14:textId="77777777" w:rsidR="00871C34" w:rsidRDefault="00871C34" w:rsidP="00871C34">
                              <w:pPr>
                                <w:jc w:val="center"/>
                                <w:rPr>
                                  <w:rFonts w:ascii="Arial" w:hAnsi="Arial" w:cs="Arial"/>
                                  <w:color w:val="000000"/>
                                  <w:spacing w:val="-4"/>
                                  <w:sz w:val="18"/>
                                </w:rPr>
                              </w:pPr>
                              <w:r>
                                <w:rPr>
                                  <w:rFonts w:ascii="Arial" w:hAnsi="Arial" w:cs="Arial"/>
                                  <w:color w:val="000000"/>
                                  <w:spacing w:val="-4"/>
                                  <w:sz w:val="18"/>
                                </w:rPr>
                                <w:t>Πηγή: ΕΛΣΤΑΤ, Τράπεζα της Ελλάδος</w:t>
                              </w:r>
                            </w:p>
                            <w:p w14:paraId="05D3BC16" w14:textId="77777777" w:rsidR="00871C34" w:rsidRDefault="00871C34" w:rsidP="00871C34">
                              <w:pPr>
                                <w:jc w:val="center"/>
                                <w:rPr>
                                  <w:rFonts w:ascii="Arial" w:hAnsi="Arial" w:cs="Arial"/>
                                  <w:color w:val="000000"/>
                                  <w:spacing w:val="-4"/>
                                  <w:sz w:val="18"/>
                                </w:rPr>
                              </w:pPr>
                            </w:p>
                          </w:txbxContent>
                        </wps:txbx>
                        <wps:bodyPr rot="0" vert="horz" wrap="square" lIns="91440" tIns="45720" rIns="91440" bIns="45720" anchor="t" anchorCtr="0" upright="1">
                          <a:noAutofit/>
                        </wps:bodyPr>
                      </wps:wsp>
                      <wps:wsp>
                        <wps:cNvPr id="64" name="Freeform 64"/>
                        <wps:cNvSpPr>
                          <a:spLocks/>
                        </wps:cNvSpPr>
                        <wps:spPr bwMode="auto">
                          <a:xfrm>
                            <a:off x="11376" y="0"/>
                            <a:ext cx="60871" cy="25542"/>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lc="http://schemas.openxmlformats.org/drawingml/2006/lockedCanva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7B42D033" w14:textId="77777777" w:rsidR="00290A3E" w:rsidRDefault="00290A3E" w:rsidP="00871C34">
                              <w:pPr>
                                <w:pStyle w:val="a4"/>
                                <w:kinsoku w:val="0"/>
                                <w:overflowPunct w:val="0"/>
                                <w:spacing w:line="200" w:lineRule="exact"/>
                                <w:rPr>
                                  <w:color w:val="0E3B70"/>
                                  <w:sz w:val="20"/>
                                  <w:szCs w:val="20"/>
                                  <w:lang w:val="el-GR"/>
                                </w:rPr>
                              </w:pPr>
                            </w:p>
                            <w:p w14:paraId="4D3A285E" w14:textId="77777777" w:rsidR="00871C34" w:rsidRDefault="00871C34" w:rsidP="00871C34">
                              <w:pPr>
                                <w:pStyle w:val="a4"/>
                                <w:kinsoku w:val="0"/>
                                <w:overflowPunct w:val="0"/>
                                <w:spacing w:line="200" w:lineRule="exact"/>
                                <w:rPr>
                                  <w:color w:val="0E3B70"/>
                                  <w:sz w:val="20"/>
                                  <w:szCs w:val="20"/>
                                  <w:lang w:val="el-GR"/>
                                </w:rPr>
                              </w:pPr>
                              <w:r>
                                <w:rPr>
                                  <w:color w:val="0E3B70"/>
                                  <w:sz w:val="20"/>
                                  <w:szCs w:val="20"/>
                                  <w:lang w:val="el-GR"/>
                                </w:rPr>
                                <w:t>Η αγορά ακινήτων διατηρεί ήπια ανθεκτικότητα κατά τη διάρκεια της πανδημίας</w:t>
                              </w:r>
                            </w:p>
                            <w:p w14:paraId="4B2B7118" w14:textId="77777777" w:rsidR="00871C34" w:rsidRDefault="00871C34" w:rsidP="00871C34">
                              <w:pPr>
                                <w:pStyle w:val="a4"/>
                                <w:kinsoku w:val="0"/>
                                <w:overflowPunct w:val="0"/>
                                <w:spacing w:line="200" w:lineRule="exact"/>
                                <w:rPr>
                                  <w:color w:val="000000"/>
                                  <w:sz w:val="20"/>
                                  <w:szCs w:val="20"/>
                                  <w:lang w:val="el-GR"/>
                                </w:rPr>
                              </w:pPr>
                              <w:r>
                                <w:rPr>
                                  <w:noProof/>
                                  <w:sz w:val="20"/>
                                  <w:szCs w:val="20"/>
                                  <w:lang w:val="el-GR" w:eastAsia="el-GR"/>
                                </w:rPr>
                                <w:drawing>
                                  <wp:inline distT="0" distB="0" distL="0" distR="0" wp14:anchorId="5996E103" wp14:editId="0C430C7B">
                                    <wp:extent cx="5905500" cy="38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0" cy="38100"/>
                                            </a:xfrm>
                                            <a:prstGeom prst="rect">
                                              <a:avLst/>
                                            </a:prstGeom>
                                            <a:noFill/>
                                            <a:ln>
                                              <a:noFill/>
                                            </a:ln>
                                          </pic:spPr>
                                        </pic:pic>
                                      </a:graphicData>
                                    </a:graphic>
                                  </wp:inline>
                                </w:drawing>
                              </w:r>
                            </w:p>
                            <w:p w14:paraId="5C9E827B" w14:textId="149D6E91" w:rsidR="00871C34" w:rsidRDefault="009F7AB4" w:rsidP="00871C34">
                              <w:pPr>
                                <w:spacing w:line="240" w:lineRule="auto"/>
                                <w:rPr>
                                  <w:rFonts w:ascii="Arial" w:hAnsi="Arial" w:cs="Arial"/>
                                  <w:sz w:val="20"/>
                                </w:rPr>
                              </w:pPr>
                              <w:r w:rsidRPr="009F7AB4">
                                <w:rPr>
                                  <w:noProof/>
                                  <w:lang w:eastAsia="el-GR"/>
                                </w:rPr>
                                <w:drawing>
                                  <wp:inline distT="0" distB="0" distL="0" distR="0" wp14:anchorId="221240C5" wp14:editId="2BE1E866">
                                    <wp:extent cx="5838825" cy="27527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8825" cy="2752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6F5F1E8" id="Group 39" o:spid="_x0000_s1032" style="position:absolute;left:0;text-align:left;margin-left:0;margin-top:3.85pt;width:568.85pt;height:257.95pt;z-index:-251643904;mso-position-horizontal-relative:margin;mso-height-relative:margin" coordsize="72247,2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">
                <v:rect id="Rectangle 63" o:spid="_x0000_s1033" style="position:absolute;width:10090;height:2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" fillcolor="#e5e4de" stroked="f">
                  <v:textbox>
                    <w:txbxContent>
                      <w:p w14:paraId="068372CA" w14:textId="77777777" w:rsidR="00871C34" w:rsidRDefault="00871C34" w:rsidP="00871C34">
                        <w:pPr>
                          <w:jc w:val="center"/>
                          <w:rPr>
                            <w:rFonts w:ascii="Arial" w:hAnsi="Arial" w:cs="Arial"/>
                            <w:color w:val="E24C37"/>
                            <w:spacing w:val="-4"/>
                            <w:sz w:val="18"/>
                          </w:rPr>
                        </w:pPr>
                        <w:r>
                          <w:rPr>
                            <w:rFonts w:ascii="Arial" w:hAnsi="Arial" w:cs="Arial"/>
                            <w:color w:val="E24C37"/>
                            <w:spacing w:val="-4"/>
                            <w:sz w:val="18"/>
                          </w:rPr>
                          <w:br/>
                        </w:r>
                        <w:r>
                          <w:rPr>
                            <w:rFonts w:ascii="Arial" w:hAnsi="Arial" w:cs="Arial"/>
                            <w:color w:val="FF0000"/>
                            <w:spacing w:val="-4"/>
                            <w:sz w:val="18"/>
                          </w:rPr>
                          <w:t>ΓΡΑΦΗ</w:t>
                        </w:r>
                        <w:r w:rsidR="00290A3E">
                          <w:rPr>
                            <w:rFonts w:ascii="Arial" w:hAnsi="Arial" w:cs="Arial"/>
                            <w:color w:val="FF0000"/>
                            <w:spacing w:val="-4"/>
                            <w:sz w:val="18"/>
                          </w:rPr>
                          <w:t>ΜΑ 3</w:t>
                        </w:r>
                      </w:p>
                      <w:p w14:paraId="7BD7657A" w14:textId="77777777" w:rsidR="00871C34" w:rsidRDefault="00871C34" w:rsidP="00871C34">
                        <w:pPr>
                          <w:jc w:val="center"/>
                          <w:rPr>
                            <w:rFonts w:ascii="Arial" w:hAnsi="Arial" w:cs="Arial"/>
                            <w:color w:val="E24C37"/>
                            <w:spacing w:val="-4"/>
                            <w:sz w:val="18"/>
                          </w:rPr>
                        </w:pPr>
                      </w:p>
                      <w:p w14:paraId="115CFF12" w14:textId="77777777" w:rsidR="00871C34" w:rsidRDefault="00871C34" w:rsidP="00871C34">
                        <w:pPr>
                          <w:jc w:val="center"/>
                          <w:rPr>
                            <w:rFonts w:ascii="Arial" w:hAnsi="Arial" w:cs="Arial"/>
                            <w:color w:val="E24C37"/>
                            <w:spacing w:val="-4"/>
                            <w:sz w:val="18"/>
                          </w:rPr>
                        </w:pPr>
                      </w:p>
                      <w:p w14:paraId="37B211DB" w14:textId="77777777" w:rsidR="00871C34" w:rsidRDefault="00871C34" w:rsidP="00871C34">
                        <w:pPr>
                          <w:jc w:val="center"/>
                          <w:rPr>
                            <w:rFonts w:ascii="Arial" w:hAnsi="Arial" w:cs="Arial"/>
                            <w:color w:val="E24C37"/>
                            <w:spacing w:val="-4"/>
                            <w:sz w:val="18"/>
                          </w:rPr>
                        </w:pPr>
                      </w:p>
                      <w:p w14:paraId="4563E0DD" w14:textId="77777777" w:rsidR="00871C34" w:rsidRDefault="00871C34" w:rsidP="00871C34">
                        <w:pPr>
                          <w:jc w:val="center"/>
                          <w:rPr>
                            <w:rFonts w:ascii="Arial" w:hAnsi="Arial" w:cs="Arial"/>
                            <w:color w:val="E24C37"/>
                            <w:spacing w:val="-4"/>
                            <w:sz w:val="18"/>
                          </w:rPr>
                        </w:pPr>
                      </w:p>
                      <w:p w14:paraId="23B6641D" w14:textId="77777777" w:rsidR="00871C34" w:rsidRDefault="00871C34" w:rsidP="00871C34">
                        <w:pPr>
                          <w:jc w:val="center"/>
                          <w:rPr>
                            <w:rFonts w:ascii="Arial" w:hAnsi="Arial" w:cs="Arial"/>
                            <w:color w:val="E24C37"/>
                            <w:spacing w:val="-4"/>
                            <w:sz w:val="18"/>
                          </w:rPr>
                        </w:pPr>
                      </w:p>
                      <w:p w14:paraId="272B809B" w14:textId="77777777" w:rsidR="00871C34" w:rsidRDefault="00871C34" w:rsidP="00871C34">
                        <w:pPr>
                          <w:jc w:val="center"/>
                          <w:rPr>
                            <w:rFonts w:ascii="Arial" w:hAnsi="Arial" w:cs="Arial"/>
                            <w:color w:val="E24C37"/>
                            <w:spacing w:val="-4"/>
                            <w:sz w:val="18"/>
                          </w:rPr>
                        </w:pPr>
                      </w:p>
                      <w:p w14:paraId="4AF18C81" w14:textId="77777777" w:rsidR="00871C34" w:rsidRDefault="00871C34" w:rsidP="00871C34">
                        <w:pPr>
                          <w:jc w:val="center"/>
                          <w:rPr>
                            <w:rFonts w:ascii="Arial" w:hAnsi="Arial" w:cs="Arial"/>
                            <w:color w:val="E24C37"/>
                            <w:spacing w:val="-4"/>
                            <w:sz w:val="18"/>
                          </w:rPr>
                        </w:pPr>
                      </w:p>
                      <w:p w14:paraId="2FA814AB" w14:textId="77777777" w:rsidR="00871C34" w:rsidRDefault="00871C34" w:rsidP="00871C34">
                        <w:pPr>
                          <w:jc w:val="center"/>
                          <w:rPr>
                            <w:rFonts w:ascii="Arial" w:hAnsi="Arial" w:cs="Arial"/>
                            <w:color w:val="E24C37"/>
                            <w:spacing w:val="-4"/>
                            <w:sz w:val="18"/>
                          </w:rPr>
                        </w:pPr>
                      </w:p>
                      <w:p w14:paraId="5E2DBBDC" w14:textId="77777777" w:rsidR="00871C34" w:rsidRDefault="00871C34" w:rsidP="00871C34">
                        <w:pPr>
                          <w:jc w:val="center"/>
                          <w:rPr>
                            <w:rFonts w:ascii="Arial" w:hAnsi="Arial" w:cs="Arial"/>
                            <w:color w:val="E24C37"/>
                            <w:spacing w:val="-4"/>
                            <w:sz w:val="18"/>
                          </w:rPr>
                        </w:pPr>
                      </w:p>
                      <w:p w14:paraId="1B8CDBAA" w14:textId="77777777" w:rsidR="00871C34" w:rsidRDefault="00871C34" w:rsidP="00871C34">
                        <w:pPr>
                          <w:jc w:val="center"/>
                          <w:rPr>
                            <w:rFonts w:ascii="Arial" w:hAnsi="Arial" w:cs="Arial"/>
                            <w:color w:val="000000"/>
                            <w:spacing w:val="-4"/>
                            <w:sz w:val="18"/>
                          </w:rPr>
                        </w:pPr>
                        <w:r>
                          <w:rPr>
                            <w:rFonts w:ascii="Arial" w:hAnsi="Arial" w:cs="Arial"/>
                            <w:color w:val="000000"/>
                            <w:spacing w:val="-4"/>
                            <w:sz w:val="18"/>
                          </w:rPr>
                          <w:t>Πηγή: ΕΛΣΤΑΤ, Τράπεζα της Ελλάδος</w:t>
                        </w:r>
                      </w:p>
                      <w:p w14:paraId="05D3BC16" w14:textId="77777777" w:rsidR="00871C34" w:rsidRDefault="00871C34" w:rsidP="00871C34">
                        <w:pPr>
                          <w:jc w:val="center"/>
                          <w:rPr>
                            <w:rFonts w:ascii="Arial" w:hAnsi="Arial" w:cs="Arial"/>
                            <w:color w:val="000000"/>
                            <w:spacing w:val="-4"/>
                            <w:sz w:val="18"/>
                          </w:rPr>
                        </w:pPr>
                      </w:p>
                    </w:txbxContent>
                  </v:textbox>
                </v:rect>
                <v:shape id="Freeform 64" o:spid="_x0000_s1034" style="position:absolute;left:11376;width:60871;height:25542;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" adj="-11796480,,5400" path="m9585,l,,,4123r9585,l9585,xe" fillcolor="#e5e4de" stroked="f">
                  <v:stroke joinstyle="miter"/>
                  <v:formulas/>
                  <v:path arrowok="t" o:connecttype="custom" o:connectlocs="38649053,0;0,0;0,16278151;38649053,16278151;38649053,0" o:connectangles="0,0,0,0,0" textboxrect="0,0,9586,4124"/>
                  <v:textbox>
                    <w:txbxContent>
                      <w:p w14:paraId="7B42D033" w14:textId="77777777" w:rsidR="00290A3E" w:rsidRDefault="00290A3E" w:rsidP="00871C34">
                        <w:pPr>
                          <w:pStyle w:val="BodyText"/>
                          <w:kinsoku w:val="0"/>
                          <w:overflowPunct w:val="0"/>
                          <w:spacing w:line="200" w:lineRule="exact"/>
                          <w:rPr>
                            <w:color w:val="0E3B70"/>
                            <w:sz w:val="20"/>
                            <w:szCs w:val="20"/>
                            <w:lang w:val="el-GR"/>
                          </w:rPr>
                        </w:pPr>
                      </w:p>
                      <w:p w14:paraId="4D3A285E" w14:textId="77777777" w:rsidR="00871C34" w:rsidRDefault="00871C34" w:rsidP="00871C34">
                        <w:pPr>
                          <w:pStyle w:val="BodyText"/>
                          <w:kinsoku w:val="0"/>
                          <w:overflowPunct w:val="0"/>
                          <w:spacing w:line="200" w:lineRule="exact"/>
                          <w:rPr>
                            <w:color w:val="0E3B70"/>
                            <w:sz w:val="20"/>
                            <w:szCs w:val="20"/>
                            <w:lang w:val="el-GR"/>
                          </w:rPr>
                        </w:pPr>
                        <w:r>
                          <w:rPr>
                            <w:color w:val="0E3B70"/>
                            <w:sz w:val="20"/>
                            <w:szCs w:val="20"/>
                            <w:lang w:val="el-GR"/>
                          </w:rPr>
                          <w:t>Η αγορά ακινήτων διατηρεί ήπια ανθεκτικότητα κατά τη διάρκεια της πανδημίας</w:t>
                        </w:r>
                      </w:p>
                      <w:p w14:paraId="4B2B7118" w14:textId="77777777" w:rsidR="00871C34" w:rsidRDefault="00871C34" w:rsidP="00871C34">
                        <w:pPr>
                          <w:pStyle w:val="BodyText"/>
                          <w:kinsoku w:val="0"/>
                          <w:overflowPunct w:val="0"/>
                          <w:spacing w:line="200" w:lineRule="exact"/>
                          <w:rPr>
                            <w:color w:val="000000"/>
                            <w:sz w:val="20"/>
                            <w:szCs w:val="20"/>
                            <w:lang w:val="el-GR"/>
                          </w:rPr>
                        </w:pPr>
                        <w:r>
                          <w:rPr>
                            <w:noProof/>
                            <w:sz w:val="20"/>
                            <w:szCs w:val="20"/>
                            <w:lang w:val="el-GR" w:eastAsia="el-GR"/>
                          </w:rPr>
                          <w:drawing>
                            <wp:inline distT="0" distB="0" distL="0" distR="0" wp14:anchorId="5996E103" wp14:editId="0C430C7B">
                              <wp:extent cx="5905500" cy="38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0" cy="38100"/>
                                      </a:xfrm>
                                      <a:prstGeom prst="rect">
                                        <a:avLst/>
                                      </a:prstGeom>
                                      <a:noFill/>
                                      <a:ln>
                                        <a:noFill/>
                                      </a:ln>
                                    </pic:spPr>
                                  </pic:pic>
                                </a:graphicData>
                              </a:graphic>
                            </wp:inline>
                          </w:drawing>
                        </w:r>
                      </w:p>
                      <w:p w14:paraId="5C9E827B" w14:textId="149D6E91" w:rsidR="00871C34" w:rsidRDefault="009F7AB4" w:rsidP="00871C34">
                        <w:pPr>
                          <w:spacing w:line="240" w:lineRule="auto"/>
                          <w:rPr>
                            <w:rFonts w:ascii="Arial" w:hAnsi="Arial" w:cs="Arial"/>
                            <w:sz w:val="20"/>
                          </w:rPr>
                        </w:pPr>
                        <w:r w:rsidRPr="009F7AB4">
                          <w:rPr>
                            <w:noProof/>
                            <w:lang w:eastAsia="el-GR"/>
                          </w:rPr>
                          <w:drawing>
                            <wp:inline distT="0" distB="0" distL="0" distR="0" wp14:anchorId="221240C5" wp14:editId="2BE1E866">
                              <wp:extent cx="5838825" cy="27527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8825" cy="2752725"/>
                                      </a:xfrm>
                                      <a:prstGeom prst="rect">
                                        <a:avLst/>
                                      </a:prstGeom>
                                      <a:noFill/>
                                      <a:ln>
                                        <a:noFill/>
                                      </a:ln>
                                    </pic:spPr>
                                  </pic:pic>
                                </a:graphicData>
                              </a:graphic>
                            </wp:inline>
                          </w:drawing>
                        </w:r>
                      </w:p>
                    </w:txbxContent>
                  </v:textbox>
                </v:shape>
                <w10:wrap anchorx="margin"/>
              </v:group>
            </w:pict>
          </mc:Fallback>
        </mc:AlternateContent>
      </w:r>
    </w:p>
    <w:p w14:paraId="4ABF3C3A" w14:textId="77777777" w:rsidR="00871C34" w:rsidRDefault="00871C34" w:rsidP="00871C34">
      <w:pPr>
        <w:ind w:left="1758" w:right="227"/>
        <w:jc w:val="both"/>
        <w:rPr>
          <w:rFonts w:ascii="Arial" w:eastAsia="Arial" w:hAnsi="Arial" w:cs="Arial"/>
          <w:sz w:val="20"/>
          <w:szCs w:val="19"/>
        </w:rPr>
      </w:pPr>
    </w:p>
    <w:p w14:paraId="25766AC4" w14:textId="77777777" w:rsidR="00871C34" w:rsidRDefault="00871C34" w:rsidP="00871C34">
      <w:pPr>
        <w:ind w:left="1758" w:right="227"/>
        <w:jc w:val="both"/>
        <w:rPr>
          <w:rFonts w:ascii="Arial" w:eastAsia="Arial" w:hAnsi="Arial" w:cs="Arial"/>
          <w:sz w:val="20"/>
          <w:szCs w:val="19"/>
        </w:rPr>
      </w:pPr>
    </w:p>
    <w:p w14:paraId="4AEAB80B" w14:textId="77777777" w:rsidR="00871C34" w:rsidRDefault="00871C34" w:rsidP="00871C34">
      <w:pPr>
        <w:ind w:left="1758" w:right="227"/>
        <w:jc w:val="both"/>
        <w:rPr>
          <w:rFonts w:ascii="Arial" w:eastAsia="Arial" w:hAnsi="Arial" w:cs="Arial"/>
          <w:sz w:val="20"/>
          <w:szCs w:val="19"/>
        </w:rPr>
      </w:pPr>
    </w:p>
    <w:p w14:paraId="29A36BD8" w14:textId="77777777" w:rsidR="00871C34" w:rsidRDefault="00871C34" w:rsidP="00871C34">
      <w:pPr>
        <w:ind w:left="1758" w:right="227"/>
        <w:jc w:val="both"/>
        <w:rPr>
          <w:rFonts w:ascii="Arial" w:eastAsia="Arial" w:hAnsi="Arial" w:cs="Arial"/>
          <w:sz w:val="20"/>
          <w:szCs w:val="19"/>
        </w:rPr>
      </w:pPr>
    </w:p>
    <w:p w14:paraId="7D6CFBE1" w14:textId="77777777" w:rsidR="00871C34" w:rsidRDefault="00871C34" w:rsidP="00871C34">
      <w:pPr>
        <w:rPr>
          <w:rFonts w:ascii="Arial" w:eastAsia="Arial" w:hAnsi="Arial" w:cs="Arial"/>
          <w:sz w:val="20"/>
          <w:szCs w:val="19"/>
        </w:rPr>
      </w:pPr>
      <w:r>
        <w:rPr>
          <w:rFonts w:ascii="Arial" w:eastAsia="Arial" w:hAnsi="Arial" w:cs="Arial"/>
          <w:sz w:val="20"/>
          <w:szCs w:val="19"/>
        </w:rPr>
        <w:br w:type="page"/>
      </w:r>
    </w:p>
    <w:p w14:paraId="6DCD7B64" w14:textId="6A95AC66" w:rsidR="006D776F" w:rsidRDefault="009F7AB4" w:rsidP="00EC3311">
      <w:pPr>
        <w:pStyle w:val="a4"/>
        <w:ind w:left="1758" w:right="227"/>
        <w:jc w:val="both"/>
        <w:rPr>
          <w:sz w:val="20"/>
          <w:lang w:val="el-GR"/>
        </w:rPr>
      </w:pPr>
      <w:r w:rsidRPr="00567BC1">
        <w:rPr>
          <w:sz w:val="20"/>
          <w:lang w:val="el-GR"/>
        </w:rPr>
        <w:lastRenderedPageBreak/>
        <w:t xml:space="preserve">Ο προϋπολογισμός του Ταμείου Ανάκαμψης θα διαθέσει Ευρώ 18,2 δισ. για τις εν συνόλω 167 επενδυτικές και μεταρρυθμιστικές δράσεις που θα πραγματοποιηθούν και στους τέσσερις πυλώνες. Επιπλέον, από τις </w:t>
      </w:r>
      <w:r w:rsidR="006D776F" w:rsidRPr="00567BC1">
        <w:rPr>
          <w:sz w:val="20"/>
          <w:lang w:val="el-GR"/>
        </w:rPr>
        <w:t>ανειλημμένες δράσεις αναμένεται να κινητοποιηθούν άλλα περίπου Ευρώ 7,5 δισ. Τα ανωτέρω ποσά δεν περιλαμβάνουν τα δάνεια που θα δοθούν για τη στήριξη των επενδύσεων</w:t>
      </w:r>
      <w:r w:rsidR="006D776F" w:rsidRPr="001254E9">
        <w:rPr>
          <w:sz w:val="20"/>
          <w:lang w:val="el-GR"/>
        </w:rPr>
        <w:t>.</w:t>
      </w:r>
      <w:r w:rsidR="006D776F">
        <w:rPr>
          <w:sz w:val="20"/>
          <w:lang w:val="el-GR"/>
        </w:rPr>
        <w:t xml:space="preserve"> </w:t>
      </w:r>
    </w:p>
    <w:p w14:paraId="0328A773" w14:textId="77777777" w:rsidR="006D776F" w:rsidRDefault="006D776F" w:rsidP="00EC3311">
      <w:pPr>
        <w:pStyle w:val="a4"/>
        <w:ind w:left="1758" w:right="227"/>
        <w:jc w:val="both"/>
        <w:rPr>
          <w:sz w:val="20"/>
          <w:lang w:val="el-GR"/>
        </w:rPr>
      </w:pPr>
    </w:p>
    <w:p w14:paraId="5907F2B4" w14:textId="1A4D1770" w:rsidR="00567BC1" w:rsidRDefault="00567BC1" w:rsidP="00EC3311">
      <w:pPr>
        <w:pStyle w:val="a4"/>
        <w:ind w:left="1758" w:right="227"/>
        <w:jc w:val="both"/>
        <w:rPr>
          <w:sz w:val="20"/>
          <w:lang w:val="el-GR"/>
        </w:rPr>
      </w:pPr>
      <w:r w:rsidRPr="00567BC1">
        <w:rPr>
          <w:sz w:val="20"/>
          <w:lang w:val="el-GR"/>
        </w:rPr>
        <w:t xml:space="preserve">Ο κατασκευαστικός κλάδος φαίνεται να παίζει σημαίνοντα ρόλο στις δράσεις αυτές με </w:t>
      </w:r>
      <w:r w:rsidRPr="002D7250">
        <w:rPr>
          <w:sz w:val="20"/>
          <w:lang w:val="el-GR"/>
        </w:rPr>
        <w:t>την οριζόντια</w:t>
      </w:r>
      <w:r w:rsidRPr="00FA74D1">
        <w:rPr>
          <w:sz w:val="20"/>
          <w:lang w:val="el-GR"/>
        </w:rPr>
        <w:t>,</w:t>
      </w:r>
      <w:r w:rsidRPr="00567BC1">
        <w:rPr>
          <w:sz w:val="20"/>
          <w:lang w:val="el-GR"/>
        </w:rPr>
        <w:t xml:space="preserve"> κυρίως, συμμετοχή του</w:t>
      </w:r>
      <w:r w:rsidR="00362E34" w:rsidRPr="00FA74D1">
        <w:rPr>
          <w:sz w:val="20"/>
          <w:lang w:val="el-GR"/>
        </w:rPr>
        <w:t xml:space="preserve"> </w:t>
      </w:r>
      <w:r w:rsidR="00872C38">
        <w:rPr>
          <w:sz w:val="20"/>
          <w:lang w:val="el-GR"/>
        </w:rPr>
        <w:t>-</w:t>
      </w:r>
      <w:r w:rsidR="00362E34">
        <w:rPr>
          <w:sz w:val="20"/>
          <w:lang w:val="el-GR"/>
        </w:rPr>
        <w:t xml:space="preserve">υπό την έννοια ότι έχει συμπληρωματικό ρόλο σε πολλές και διαφορετικού αντικειμένου και κλάδου δράσεις του </w:t>
      </w:r>
      <w:r w:rsidR="00362E34" w:rsidRPr="00567BC1">
        <w:rPr>
          <w:sz w:val="20"/>
          <w:lang w:val="el-GR"/>
        </w:rPr>
        <w:t>Εθνικ</w:t>
      </w:r>
      <w:r w:rsidR="00362E34">
        <w:rPr>
          <w:sz w:val="20"/>
          <w:lang w:val="el-GR"/>
        </w:rPr>
        <w:t>ού</w:t>
      </w:r>
      <w:r w:rsidR="00362E34" w:rsidRPr="00567BC1">
        <w:rPr>
          <w:sz w:val="20"/>
          <w:lang w:val="el-GR"/>
        </w:rPr>
        <w:t xml:space="preserve"> Σχ</w:t>
      </w:r>
      <w:r w:rsidR="00362E34">
        <w:rPr>
          <w:sz w:val="20"/>
          <w:lang w:val="el-GR"/>
        </w:rPr>
        <w:t>εδίου</w:t>
      </w:r>
      <w:r w:rsidR="00362E34" w:rsidRPr="00567BC1">
        <w:rPr>
          <w:sz w:val="20"/>
          <w:lang w:val="el-GR"/>
        </w:rPr>
        <w:t xml:space="preserve"> Ανάκαμψης και </w:t>
      </w:r>
      <w:r w:rsidR="00362E34" w:rsidRPr="005175FA">
        <w:rPr>
          <w:sz w:val="20"/>
          <w:lang w:val="el-GR"/>
        </w:rPr>
        <w:t>Ανθεκτικότητα</w:t>
      </w:r>
      <w:r w:rsidR="00F927C8">
        <w:rPr>
          <w:sz w:val="20"/>
          <w:lang w:val="el-GR"/>
        </w:rPr>
        <w:t>ς-</w:t>
      </w:r>
      <w:r w:rsidRPr="00567BC1">
        <w:rPr>
          <w:sz w:val="20"/>
          <w:lang w:val="el-GR"/>
        </w:rPr>
        <w:t xml:space="preserve"> στο </w:t>
      </w:r>
      <w:r w:rsidR="00F927C8">
        <w:rPr>
          <w:sz w:val="20"/>
          <w:lang w:val="el-GR"/>
        </w:rPr>
        <w:t>1/4</w:t>
      </w:r>
      <w:r w:rsidRPr="00567BC1">
        <w:rPr>
          <w:sz w:val="20"/>
          <w:lang w:val="el-GR"/>
        </w:rPr>
        <w:t xml:space="preserve"> περίπου των συνολικών δράσεων, δηλ. σε περίπου 42 δράσεις. Ανά πυλώνα, σχεδόν το </w:t>
      </w:r>
      <w:r w:rsidR="00F927C8">
        <w:rPr>
          <w:sz w:val="20"/>
          <w:lang w:val="el-GR"/>
        </w:rPr>
        <w:t>1/4</w:t>
      </w:r>
      <w:r w:rsidRPr="00567BC1">
        <w:rPr>
          <w:sz w:val="20"/>
          <w:lang w:val="el-GR"/>
        </w:rPr>
        <w:t xml:space="preserve"> των πόρων που εκτιμάται ότι θα </w:t>
      </w:r>
      <w:proofErr w:type="spellStart"/>
      <w:r w:rsidRPr="00567BC1">
        <w:rPr>
          <w:sz w:val="20"/>
          <w:lang w:val="el-GR"/>
        </w:rPr>
        <w:t>απορροφηθούν</w:t>
      </w:r>
      <w:proofErr w:type="spellEnd"/>
      <w:r w:rsidRPr="00567BC1">
        <w:rPr>
          <w:sz w:val="20"/>
          <w:lang w:val="el-GR"/>
        </w:rPr>
        <w:t xml:space="preserve"> από τον κατασκευαστικό κλάδο θα κατευθυνθούν προς δράσεις συνδεδεμένες με τον πρώτο πυλώνα της πράσινης ανάπτυξης, ενώ σχεδόν το 1/5 θα διοχετευθεί σε δράσεις του τέταρτου πυλώνα των ιδιωτικών επενδύσεων και του μετασχηματισμού της οικονομίας. Ως εκ τούτου, ο κατασκευαστικός κλάδος, στο σύνολο των πόρων που αφενός θα εκταμιευθούν από το Ταμείο Ανάκαμψης και αφετέρου θα προκύψουν από την κινητοποίηση πρόσθετων επενδύσεων, εκτιμάται ότι θα συγκεντρώσει</w:t>
      </w:r>
      <w:r w:rsidR="00FE79AE">
        <w:rPr>
          <w:sz w:val="20"/>
          <w:lang w:val="el-GR"/>
        </w:rPr>
        <w:t xml:space="preserve"> αξιόλογο ύψος κεφαλαίων.</w:t>
      </w:r>
    </w:p>
    <w:p w14:paraId="20F6C8EC" w14:textId="77777777" w:rsidR="00567BC1" w:rsidRPr="00567BC1" w:rsidRDefault="00567BC1" w:rsidP="00EC3311">
      <w:pPr>
        <w:pStyle w:val="a4"/>
        <w:ind w:left="1758" w:right="227"/>
        <w:jc w:val="both"/>
        <w:rPr>
          <w:sz w:val="20"/>
          <w:lang w:val="el-GR"/>
        </w:rPr>
      </w:pPr>
    </w:p>
    <w:p w14:paraId="3686BDEE" w14:textId="77777777" w:rsidR="00D75593" w:rsidRDefault="00974D05" w:rsidP="00EC3311">
      <w:pPr>
        <w:pStyle w:val="a4"/>
        <w:ind w:left="1758" w:right="227"/>
        <w:jc w:val="both"/>
        <w:rPr>
          <w:sz w:val="20"/>
          <w:lang w:val="el-GR"/>
        </w:rPr>
      </w:pPr>
      <w:r>
        <w:rPr>
          <w:sz w:val="20"/>
          <w:lang w:val="el-GR"/>
        </w:rPr>
        <w:t>Οι πέντε</w:t>
      </w:r>
      <w:r w:rsidR="00567BC1" w:rsidRPr="00567BC1">
        <w:rPr>
          <w:sz w:val="20"/>
          <w:lang w:val="el-GR"/>
        </w:rPr>
        <w:t xml:space="preserve"> πιο εμβληματικές</w:t>
      </w:r>
      <w:r>
        <w:rPr>
          <w:sz w:val="20"/>
          <w:lang w:val="el-GR"/>
        </w:rPr>
        <w:t xml:space="preserve"> δράσεις του Ταμείου Ανάκαμψης</w:t>
      </w:r>
      <w:r w:rsidR="00E418F8">
        <w:rPr>
          <w:sz w:val="20"/>
          <w:lang w:val="el-GR"/>
        </w:rPr>
        <w:t xml:space="preserve"> (εκτός του προγράμματος </w:t>
      </w:r>
      <w:r w:rsidR="00E418F8" w:rsidRPr="001254E9">
        <w:rPr>
          <w:sz w:val="20"/>
          <w:lang w:val="el-GR"/>
        </w:rPr>
        <w:t>«Εξοικονομώ»</w:t>
      </w:r>
      <w:r w:rsidR="00E418F8">
        <w:rPr>
          <w:sz w:val="20"/>
          <w:lang w:val="el-GR"/>
        </w:rPr>
        <w:t>)</w:t>
      </w:r>
      <w:r>
        <w:rPr>
          <w:sz w:val="20"/>
          <w:lang w:val="el-GR"/>
        </w:rPr>
        <w:t xml:space="preserve"> </w:t>
      </w:r>
      <w:r w:rsidR="00E418F8">
        <w:rPr>
          <w:sz w:val="20"/>
          <w:lang w:val="el-GR"/>
        </w:rPr>
        <w:t>οι οποίες</w:t>
      </w:r>
      <w:r>
        <w:rPr>
          <w:sz w:val="20"/>
          <w:lang w:val="el-GR"/>
        </w:rPr>
        <w:t xml:space="preserve"> συνδέονται με τις κατασκευές είναι</w:t>
      </w:r>
      <w:r w:rsidR="00E418F8" w:rsidRPr="00E418F8">
        <w:rPr>
          <w:sz w:val="20"/>
          <w:lang w:val="el-GR"/>
        </w:rPr>
        <w:t>:</w:t>
      </w:r>
      <w:r w:rsidR="00E418F8">
        <w:rPr>
          <w:sz w:val="20"/>
          <w:lang w:val="el-GR"/>
        </w:rPr>
        <w:t xml:space="preserve"> α) </w:t>
      </w:r>
      <w:r w:rsidR="00567BC1" w:rsidRPr="00567BC1">
        <w:rPr>
          <w:sz w:val="20"/>
          <w:lang w:val="el-GR"/>
        </w:rPr>
        <w:t xml:space="preserve">οι </w:t>
      </w:r>
      <w:r w:rsidR="00BB366C">
        <w:rPr>
          <w:sz w:val="20"/>
          <w:lang w:val="el-GR"/>
        </w:rPr>
        <w:t>«</w:t>
      </w:r>
      <w:r w:rsidR="00567BC1" w:rsidRPr="00567BC1">
        <w:rPr>
          <w:sz w:val="20"/>
          <w:lang w:val="el-GR"/>
        </w:rPr>
        <w:t>Στρατηγικές αστικές αναπλάσεις</w:t>
      </w:r>
      <w:r w:rsidR="00BB366C">
        <w:rPr>
          <w:sz w:val="20"/>
          <w:lang w:val="el-GR"/>
        </w:rPr>
        <w:t>»</w:t>
      </w:r>
      <w:r w:rsidR="00567BC1" w:rsidRPr="00567BC1">
        <w:rPr>
          <w:sz w:val="20"/>
          <w:lang w:val="el-GR"/>
        </w:rPr>
        <w:t xml:space="preserve">, </w:t>
      </w:r>
      <w:r w:rsidR="00E418F8">
        <w:rPr>
          <w:sz w:val="20"/>
          <w:lang w:val="el-GR"/>
        </w:rPr>
        <w:t xml:space="preserve">β) </w:t>
      </w:r>
      <w:r w:rsidR="00567BC1" w:rsidRPr="00567BC1">
        <w:rPr>
          <w:sz w:val="20"/>
          <w:lang w:val="el-GR"/>
        </w:rPr>
        <w:t xml:space="preserve">ο </w:t>
      </w:r>
      <w:r w:rsidR="00BB366C">
        <w:rPr>
          <w:sz w:val="20"/>
          <w:lang w:val="el-GR"/>
        </w:rPr>
        <w:t>«</w:t>
      </w:r>
      <w:r w:rsidR="00567BC1" w:rsidRPr="00567BC1">
        <w:rPr>
          <w:sz w:val="20"/>
          <w:lang w:val="el-GR"/>
        </w:rPr>
        <w:t>Αυτοκινητόδρομος Κεντρικής Ελλάδας Ε-65</w:t>
      </w:r>
      <w:r w:rsidR="00BB366C">
        <w:rPr>
          <w:sz w:val="20"/>
          <w:lang w:val="el-GR"/>
        </w:rPr>
        <w:t xml:space="preserve"> </w:t>
      </w:r>
      <w:r w:rsidR="00567BC1" w:rsidRPr="00567BC1">
        <w:rPr>
          <w:sz w:val="20"/>
          <w:lang w:val="el-GR"/>
        </w:rPr>
        <w:t>βόρειο τμήμα</w:t>
      </w:r>
      <w:r w:rsidR="00BB366C">
        <w:rPr>
          <w:sz w:val="20"/>
          <w:lang w:val="el-GR"/>
        </w:rPr>
        <w:t>»</w:t>
      </w:r>
      <w:r>
        <w:rPr>
          <w:sz w:val="20"/>
          <w:lang w:val="el-GR"/>
        </w:rPr>
        <w:t>,</w:t>
      </w:r>
      <w:r w:rsidR="00567BC1" w:rsidRPr="00567BC1">
        <w:rPr>
          <w:sz w:val="20"/>
          <w:lang w:val="el-GR"/>
        </w:rPr>
        <w:t xml:space="preserve"> </w:t>
      </w:r>
      <w:r w:rsidR="00E418F8">
        <w:rPr>
          <w:sz w:val="20"/>
          <w:lang w:val="el-GR"/>
        </w:rPr>
        <w:t xml:space="preserve">γ) </w:t>
      </w:r>
      <w:r w:rsidR="00470F76">
        <w:rPr>
          <w:sz w:val="20"/>
          <w:lang w:val="el-GR"/>
        </w:rPr>
        <w:t>το «</w:t>
      </w:r>
      <w:r w:rsidR="00470F76" w:rsidRPr="00567BC1">
        <w:rPr>
          <w:sz w:val="20"/>
          <w:lang w:val="el-GR"/>
        </w:rPr>
        <w:t>Πρόγραμμα βελτίωσης οδικής ασφάλειας</w:t>
      </w:r>
      <w:r w:rsidR="00470F76">
        <w:rPr>
          <w:sz w:val="20"/>
          <w:lang w:val="el-GR"/>
        </w:rPr>
        <w:t>»,</w:t>
      </w:r>
      <w:r w:rsidR="00470F76" w:rsidRPr="00567BC1">
        <w:rPr>
          <w:sz w:val="20"/>
          <w:lang w:val="el-GR"/>
        </w:rPr>
        <w:t xml:space="preserve"> </w:t>
      </w:r>
      <w:r w:rsidR="00E418F8">
        <w:rPr>
          <w:sz w:val="20"/>
          <w:lang w:val="el-GR"/>
        </w:rPr>
        <w:t xml:space="preserve">δ) </w:t>
      </w:r>
      <w:r w:rsidR="00567BC1" w:rsidRPr="00567BC1">
        <w:rPr>
          <w:sz w:val="20"/>
          <w:lang w:val="el-GR"/>
        </w:rPr>
        <w:t xml:space="preserve">ο </w:t>
      </w:r>
      <w:r w:rsidR="00BB366C">
        <w:rPr>
          <w:sz w:val="20"/>
          <w:lang w:val="el-GR"/>
        </w:rPr>
        <w:t>«</w:t>
      </w:r>
      <w:r w:rsidR="00567BC1" w:rsidRPr="00567BC1">
        <w:rPr>
          <w:sz w:val="20"/>
          <w:lang w:val="el-GR"/>
        </w:rPr>
        <w:t>Βόρειος οδικός άξονας Κρήτης</w:t>
      </w:r>
      <w:r w:rsidR="00BB366C">
        <w:rPr>
          <w:sz w:val="20"/>
          <w:lang w:val="el-GR"/>
        </w:rPr>
        <w:t>»</w:t>
      </w:r>
      <w:r w:rsidR="00567BC1" w:rsidRPr="00567BC1">
        <w:rPr>
          <w:sz w:val="20"/>
          <w:lang w:val="el-GR"/>
        </w:rPr>
        <w:t xml:space="preserve"> και </w:t>
      </w:r>
      <w:r w:rsidR="00E418F8">
        <w:rPr>
          <w:sz w:val="20"/>
          <w:lang w:val="el-GR"/>
        </w:rPr>
        <w:t xml:space="preserve">ε) </w:t>
      </w:r>
      <w:r w:rsidR="00710C78">
        <w:rPr>
          <w:sz w:val="20"/>
          <w:lang w:val="el-GR"/>
        </w:rPr>
        <w:t xml:space="preserve">η </w:t>
      </w:r>
      <w:r w:rsidR="00BB366C">
        <w:rPr>
          <w:sz w:val="20"/>
          <w:lang w:val="el-GR"/>
        </w:rPr>
        <w:t>«</w:t>
      </w:r>
      <w:r w:rsidR="00567BC1" w:rsidRPr="00567BC1">
        <w:rPr>
          <w:sz w:val="20"/>
          <w:lang w:val="el-GR"/>
        </w:rPr>
        <w:t>Αποκατάσταση εδαφών παλαιών λιγνιτωρυχείων στη Δυτική Μακεδονία</w:t>
      </w:r>
      <w:r w:rsidR="00BB366C">
        <w:rPr>
          <w:sz w:val="20"/>
          <w:lang w:val="el-GR"/>
        </w:rPr>
        <w:t>»</w:t>
      </w:r>
      <w:r w:rsidR="00E418F8">
        <w:rPr>
          <w:sz w:val="20"/>
          <w:lang w:val="el-GR"/>
        </w:rPr>
        <w:t>. Αυτές οι πέντε δράσεις</w:t>
      </w:r>
      <w:r>
        <w:rPr>
          <w:sz w:val="20"/>
          <w:lang w:val="el-GR"/>
        </w:rPr>
        <w:t xml:space="preserve"> </w:t>
      </w:r>
      <w:r w:rsidR="00567BC1" w:rsidRPr="00567BC1">
        <w:rPr>
          <w:sz w:val="20"/>
          <w:lang w:val="el-GR"/>
        </w:rPr>
        <w:t xml:space="preserve">απορροφούν περίπου τα </w:t>
      </w:r>
      <w:r>
        <w:rPr>
          <w:sz w:val="20"/>
          <w:lang w:val="el-GR"/>
        </w:rPr>
        <w:t>2/5</w:t>
      </w:r>
      <w:r w:rsidR="00567BC1" w:rsidRPr="00567BC1">
        <w:rPr>
          <w:sz w:val="20"/>
          <w:lang w:val="el-GR"/>
        </w:rPr>
        <w:t xml:space="preserve"> </w:t>
      </w:r>
      <w:r>
        <w:rPr>
          <w:sz w:val="20"/>
          <w:lang w:val="el-GR"/>
        </w:rPr>
        <w:t>των</w:t>
      </w:r>
      <w:r w:rsidR="00567BC1" w:rsidRPr="00567BC1">
        <w:rPr>
          <w:sz w:val="20"/>
          <w:lang w:val="el-GR"/>
        </w:rPr>
        <w:t xml:space="preserve"> επενδυτικ</w:t>
      </w:r>
      <w:r>
        <w:rPr>
          <w:sz w:val="20"/>
          <w:lang w:val="el-GR"/>
        </w:rPr>
        <w:t>ών κεφα</w:t>
      </w:r>
      <w:r w:rsidR="00567BC1" w:rsidRPr="00567BC1">
        <w:rPr>
          <w:sz w:val="20"/>
          <w:lang w:val="el-GR"/>
        </w:rPr>
        <w:t>λα</w:t>
      </w:r>
      <w:r>
        <w:rPr>
          <w:sz w:val="20"/>
          <w:lang w:val="el-GR"/>
        </w:rPr>
        <w:t>ίων</w:t>
      </w:r>
      <w:r w:rsidR="00567BC1" w:rsidRPr="00567BC1">
        <w:rPr>
          <w:sz w:val="20"/>
          <w:lang w:val="el-GR"/>
        </w:rPr>
        <w:t xml:space="preserve"> που προορίζονται για τις κατασκευές</w:t>
      </w:r>
      <w:r w:rsidR="00567BC1" w:rsidRPr="00B5072D">
        <w:rPr>
          <w:sz w:val="20"/>
          <w:lang w:val="el-GR"/>
        </w:rPr>
        <w:t xml:space="preserve">. </w:t>
      </w:r>
      <w:r w:rsidR="00E418F8">
        <w:rPr>
          <w:sz w:val="20"/>
          <w:lang w:val="el-GR"/>
        </w:rPr>
        <w:t xml:space="preserve">Ωστόσο, ένα μεγάλο μέρος των επενδυτικών κεφαλαίων που συνδέονται με τον κατασκευαστικό κλάδο προέρχεται από το </w:t>
      </w:r>
      <w:r w:rsidR="00567BC1" w:rsidRPr="001254E9">
        <w:rPr>
          <w:sz w:val="20"/>
          <w:lang w:val="el-GR"/>
        </w:rPr>
        <w:t xml:space="preserve">πρόγραμμα </w:t>
      </w:r>
      <w:r w:rsidR="00BB366C" w:rsidRPr="001254E9">
        <w:rPr>
          <w:sz w:val="20"/>
          <w:lang w:val="el-GR"/>
        </w:rPr>
        <w:t>«</w:t>
      </w:r>
      <w:r w:rsidR="00567BC1" w:rsidRPr="001254E9">
        <w:rPr>
          <w:sz w:val="20"/>
          <w:lang w:val="el-GR"/>
        </w:rPr>
        <w:t>Εξοικονομώ</w:t>
      </w:r>
      <w:r w:rsidR="00BB366C" w:rsidRPr="001254E9">
        <w:rPr>
          <w:sz w:val="20"/>
          <w:lang w:val="el-GR"/>
        </w:rPr>
        <w:t>»</w:t>
      </w:r>
      <w:r w:rsidR="00E418F8">
        <w:rPr>
          <w:sz w:val="20"/>
          <w:lang w:val="el-GR"/>
        </w:rPr>
        <w:t xml:space="preserve"> το οποίο περιέχει τις τρεις δράσεις</w:t>
      </w:r>
      <w:r w:rsidR="00204501" w:rsidRPr="00204501">
        <w:rPr>
          <w:sz w:val="20"/>
          <w:lang w:val="el-GR"/>
        </w:rPr>
        <w:t>:</w:t>
      </w:r>
      <w:r w:rsidR="00E418F8">
        <w:rPr>
          <w:sz w:val="20"/>
          <w:lang w:val="el-GR"/>
        </w:rPr>
        <w:t xml:space="preserve"> α) </w:t>
      </w:r>
      <w:r w:rsidR="00504272">
        <w:rPr>
          <w:sz w:val="20"/>
          <w:lang w:val="el-GR"/>
        </w:rPr>
        <w:t>«</w:t>
      </w:r>
      <w:r w:rsidR="00567BC1" w:rsidRPr="001254E9">
        <w:rPr>
          <w:sz w:val="20"/>
          <w:lang w:val="el-GR"/>
        </w:rPr>
        <w:t xml:space="preserve">Εξοικονομώ κατ’ </w:t>
      </w:r>
      <w:proofErr w:type="spellStart"/>
      <w:r w:rsidR="00567BC1" w:rsidRPr="001254E9">
        <w:rPr>
          <w:sz w:val="20"/>
          <w:lang w:val="el-GR"/>
        </w:rPr>
        <w:t>οίκον</w:t>
      </w:r>
      <w:proofErr w:type="spellEnd"/>
      <w:r w:rsidR="00504272">
        <w:rPr>
          <w:sz w:val="20"/>
          <w:lang w:val="el-GR"/>
        </w:rPr>
        <w:t>»</w:t>
      </w:r>
      <w:r w:rsidR="00567BC1" w:rsidRPr="001254E9">
        <w:rPr>
          <w:sz w:val="20"/>
          <w:lang w:val="el-GR"/>
        </w:rPr>
        <w:t xml:space="preserve">, </w:t>
      </w:r>
      <w:r w:rsidR="00E418F8">
        <w:rPr>
          <w:sz w:val="20"/>
          <w:lang w:val="el-GR"/>
        </w:rPr>
        <w:t xml:space="preserve">β) </w:t>
      </w:r>
      <w:r w:rsidR="00504272">
        <w:rPr>
          <w:sz w:val="20"/>
          <w:lang w:val="el-GR"/>
        </w:rPr>
        <w:t>«</w:t>
      </w:r>
      <w:r w:rsidR="00567BC1" w:rsidRPr="001254E9">
        <w:rPr>
          <w:sz w:val="20"/>
          <w:lang w:val="el-GR"/>
        </w:rPr>
        <w:t>Εξοικονομώ επιχειρώντας</w:t>
      </w:r>
      <w:r w:rsidR="00504272">
        <w:rPr>
          <w:sz w:val="20"/>
          <w:lang w:val="el-GR"/>
        </w:rPr>
        <w:t>»</w:t>
      </w:r>
      <w:r w:rsidR="00E418F8">
        <w:rPr>
          <w:sz w:val="20"/>
          <w:lang w:val="el-GR"/>
        </w:rPr>
        <w:t xml:space="preserve"> και γ)</w:t>
      </w:r>
      <w:r w:rsidR="00567BC1" w:rsidRPr="001254E9">
        <w:rPr>
          <w:sz w:val="20"/>
          <w:lang w:val="el-GR"/>
        </w:rPr>
        <w:t xml:space="preserve"> </w:t>
      </w:r>
      <w:r w:rsidR="00504272">
        <w:rPr>
          <w:sz w:val="20"/>
          <w:lang w:val="el-GR"/>
        </w:rPr>
        <w:t>«</w:t>
      </w:r>
      <w:r w:rsidR="00567BC1" w:rsidRPr="001254E9">
        <w:rPr>
          <w:sz w:val="20"/>
          <w:lang w:val="el-GR"/>
        </w:rPr>
        <w:t>Εξοικονομώ στο Δημόσιο</w:t>
      </w:r>
      <w:r w:rsidR="00504272">
        <w:rPr>
          <w:sz w:val="20"/>
          <w:lang w:val="el-GR"/>
        </w:rPr>
        <w:t>»</w:t>
      </w:r>
      <w:r w:rsidR="00E418F8">
        <w:rPr>
          <w:sz w:val="20"/>
          <w:lang w:val="el-GR"/>
        </w:rPr>
        <w:t xml:space="preserve">. Αυτές οι τρεις δράσεις του προγράμματος </w:t>
      </w:r>
      <w:r w:rsidR="00E418F8" w:rsidRPr="001254E9">
        <w:rPr>
          <w:sz w:val="20"/>
          <w:lang w:val="el-GR"/>
        </w:rPr>
        <w:t>«Εξοικονομώ»</w:t>
      </w:r>
      <w:r w:rsidR="00E418F8">
        <w:rPr>
          <w:sz w:val="20"/>
          <w:lang w:val="el-GR"/>
        </w:rPr>
        <w:t xml:space="preserve"> απορροφούν περίπου το 1/5 των επενδυτικών κεφαλαίων </w:t>
      </w:r>
      <w:r w:rsidR="00567BC1" w:rsidRPr="001254E9">
        <w:rPr>
          <w:sz w:val="20"/>
          <w:lang w:val="el-GR"/>
        </w:rPr>
        <w:t>που αφορούν στις κατασκευές</w:t>
      </w:r>
      <w:r w:rsidR="00E418F8">
        <w:rPr>
          <w:sz w:val="20"/>
          <w:lang w:val="el-GR"/>
        </w:rPr>
        <w:t>. Τ</w:t>
      </w:r>
      <w:r w:rsidR="00567BC1" w:rsidRPr="001254E9">
        <w:rPr>
          <w:sz w:val="20"/>
          <w:lang w:val="el-GR"/>
        </w:rPr>
        <w:t xml:space="preserve">α υπόλοιπα </w:t>
      </w:r>
      <w:r w:rsidR="00E418F8">
        <w:rPr>
          <w:sz w:val="20"/>
          <w:lang w:val="el-GR"/>
        </w:rPr>
        <w:t xml:space="preserve">κονδύλια του προγράμματος </w:t>
      </w:r>
      <w:r w:rsidR="00E418F8" w:rsidRPr="001254E9">
        <w:rPr>
          <w:sz w:val="20"/>
          <w:lang w:val="el-GR"/>
        </w:rPr>
        <w:t>«Εξοικονομώ»</w:t>
      </w:r>
      <w:r w:rsidR="00E418F8">
        <w:rPr>
          <w:sz w:val="20"/>
          <w:lang w:val="el-GR"/>
        </w:rPr>
        <w:t xml:space="preserve"> </w:t>
      </w:r>
      <w:r w:rsidR="00567BC1" w:rsidRPr="001254E9">
        <w:rPr>
          <w:sz w:val="20"/>
          <w:lang w:val="el-GR"/>
        </w:rPr>
        <w:t>συνδέονται με κλάδους όπως ο ηλεκτρισμός, η μεταποίηση, το εμπόριο και οι επαγγελματικές-επιστημονικές-τεχνικές δραστηριότητες.</w:t>
      </w:r>
    </w:p>
    <w:p w14:paraId="6A313624" w14:textId="77777777" w:rsidR="00D06F15" w:rsidRDefault="00D06F15" w:rsidP="003307A5">
      <w:pPr>
        <w:pStyle w:val="a4"/>
        <w:ind w:left="1758" w:right="227"/>
        <w:jc w:val="both"/>
        <w:rPr>
          <w:lang w:val="el-GR"/>
        </w:rPr>
      </w:pPr>
    </w:p>
    <w:p w14:paraId="7CF6E561" w14:textId="1E5824A4" w:rsidR="00FA74D1" w:rsidRDefault="00FA74D1" w:rsidP="003307A5">
      <w:pPr>
        <w:pStyle w:val="a4"/>
        <w:ind w:left="1758" w:right="227"/>
        <w:jc w:val="both"/>
        <w:rPr>
          <w:lang w:val="el-GR"/>
        </w:rPr>
      </w:pPr>
    </w:p>
    <w:p w14:paraId="36826C97" w14:textId="77777777" w:rsidR="00322203" w:rsidRDefault="00322203" w:rsidP="003307A5">
      <w:pPr>
        <w:pStyle w:val="a4"/>
        <w:ind w:left="1758" w:right="227"/>
        <w:jc w:val="both"/>
        <w:rPr>
          <w:lang w:val="el-GR"/>
        </w:rPr>
      </w:pPr>
    </w:p>
    <w:p w14:paraId="26CAC66E" w14:textId="77777777" w:rsidR="00931480" w:rsidRDefault="00B14DB5" w:rsidP="0047660B">
      <w:pPr>
        <w:pStyle w:val="a4"/>
        <w:ind w:left="1758" w:right="170"/>
        <w:jc w:val="both"/>
        <w:rPr>
          <w:sz w:val="20"/>
          <w:lang w:val="el-GR"/>
        </w:rPr>
      </w:pPr>
      <w:r>
        <w:rPr>
          <w:noProof/>
          <w:lang w:val="el-GR" w:eastAsia="el-GR"/>
        </w:rPr>
        <w:drawing>
          <wp:anchor distT="0" distB="0" distL="114300" distR="114300" simplePos="0" relativeHeight="251648000" behindDoc="0" locked="0" layoutInCell="1" allowOverlap="1" wp14:anchorId="39B029B4" wp14:editId="363CC1D2">
            <wp:simplePos x="0" y="0"/>
            <wp:positionH relativeFrom="column">
              <wp:posOffset>1093761</wp:posOffset>
            </wp:positionH>
            <wp:positionV relativeFrom="paragraph">
              <wp:posOffset>188595</wp:posOffset>
            </wp:positionV>
            <wp:extent cx="6102000" cy="511200"/>
            <wp:effectExtent l="0" t="0" r="0" b="3175"/>
            <wp:wrapSquare wrapText="bothSides"/>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02000" cy="511200"/>
                    </a:xfrm>
                    <a:prstGeom prst="rect">
                      <a:avLst/>
                    </a:prstGeom>
                  </pic:spPr>
                </pic:pic>
              </a:graphicData>
            </a:graphic>
            <wp14:sizeRelH relativeFrom="margin">
              <wp14:pctWidth>0</wp14:pctWidth>
            </wp14:sizeRelH>
            <wp14:sizeRelV relativeFrom="margin">
              <wp14:pctHeight>0</wp14:pctHeight>
            </wp14:sizeRelV>
          </wp:anchor>
        </w:drawing>
      </w:r>
    </w:p>
    <w:p w14:paraId="4C2B3E1B" w14:textId="77777777" w:rsidR="003F4835" w:rsidRDefault="003F4835" w:rsidP="00B14DB5">
      <w:pPr>
        <w:tabs>
          <w:tab w:val="left" w:pos="2729"/>
        </w:tabs>
        <w:ind w:left="1758" w:right="170"/>
        <w:jc w:val="both"/>
        <w:rPr>
          <w:color w:val="231F20"/>
          <w:sz w:val="20"/>
          <w:szCs w:val="20"/>
        </w:rPr>
      </w:pPr>
    </w:p>
    <w:p w14:paraId="31FA6AF9" w14:textId="77777777" w:rsidR="00FC5C38" w:rsidRPr="00F148F7" w:rsidRDefault="00FC5C38" w:rsidP="00FC5C38">
      <w:pPr>
        <w:pStyle w:val="1"/>
        <w:pBdr>
          <w:top w:val="single" w:sz="8" w:space="1" w:color="00B0F0"/>
          <w:bottom w:val="single" w:sz="8" w:space="1" w:color="00B0F0"/>
        </w:pBdr>
        <w:kinsoku w:val="0"/>
        <w:overflowPunct w:val="0"/>
        <w:ind w:left="1780" w:right="227"/>
        <w:rPr>
          <w:color w:val="63A1AA"/>
        </w:rPr>
      </w:pPr>
      <w:r w:rsidRPr="005E7E8B">
        <w:rPr>
          <w:color w:val="63A1AA"/>
        </w:rPr>
        <w:t>Δείκτης Τιμών Καταναλωτή (ΔΤΚ) και Εναρμονισμέν</w:t>
      </w:r>
      <w:r>
        <w:rPr>
          <w:color w:val="63A1AA"/>
        </w:rPr>
        <w:t>ος Δείκτης Τιμών Καταναλωτή (</w:t>
      </w:r>
      <w:proofErr w:type="spellStart"/>
      <w:r>
        <w:rPr>
          <w:color w:val="63A1AA"/>
        </w:rPr>
        <w:t>Εν</w:t>
      </w:r>
      <w:r w:rsidRPr="005E7E8B">
        <w:rPr>
          <w:color w:val="63A1AA"/>
        </w:rPr>
        <w:t>ΔΤΚ</w:t>
      </w:r>
      <w:proofErr w:type="spellEnd"/>
      <w:r w:rsidRPr="005E7E8B">
        <w:rPr>
          <w:color w:val="63A1AA"/>
        </w:rPr>
        <w:t>)</w:t>
      </w:r>
    </w:p>
    <w:p w14:paraId="6EE6B223" w14:textId="77777777" w:rsidR="00FC5C38" w:rsidRDefault="00FC5C38" w:rsidP="00FC5C38">
      <w:pPr>
        <w:ind w:left="1780" w:right="227"/>
        <w:rPr>
          <w:rFonts w:ascii="Arial" w:eastAsia="Arial" w:hAnsi="Arial" w:cs="Arial"/>
          <w:color w:val="231F20"/>
          <w:sz w:val="20"/>
          <w:szCs w:val="19"/>
        </w:rPr>
      </w:pPr>
    </w:p>
    <w:p w14:paraId="234CE732" w14:textId="458D52EC" w:rsidR="00FC5C38" w:rsidRPr="008B4106" w:rsidRDefault="00FC5C38" w:rsidP="00FC5C38">
      <w:pPr>
        <w:spacing w:after="0" w:line="240" w:lineRule="auto"/>
        <w:ind w:left="1758" w:right="227"/>
        <w:jc w:val="both"/>
        <w:rPr>
          <w:rFonts w:ascii="Arial" w:eastAsia="Arial" w:hAnsi="Arial" w:cs="Arial"/>
          <w:color w:val="000000" w:themeColor="text1"/>
          <w:sz w:val="20"/>
          <w:szCs w:val="19"/>
        </w:rPr>
      </w:pPr>
      <w:r w:rsidRPr="008B4106">
        <w:rPr>
          <w:rFonts w:ascii="Arial" w:eastAsia="Arial" w:hAnsi="Arial" w:cs="Arial"/>
          <w:color w:val="000000" w:themeColor="text1"/>
          <w:sz w:val="20"/>
          <w:szCs w:val="19"/>
        </w:rPr>
        <w:t>Ο Γενικός Δείκτης Τιμών Καταναλωτή, τον</w:t>
      </w:r>
      <w:r w:rsidRPr="00F97DC2">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Απρίλιο, ήταν μειωμένος κατά 0,3</w:t>
      </w:r>
      <w:r w:rsidRPr="008B4106">
        <w:rPr>
          <w:rFonts w:ascii="Arial" w:eastAsia="Arial" w:hAnsi="Arial" w:cs="Arial"/>
          <w:color w:val="000000" w:themeColor="text1"/>
          <w:sz w:val="20"/>
          <w:szCs w:val="19"/>
        </w:rPr>
        <w:t xml:space="preserve">%, σε σύγκριση με τον </w:t>
      </w:r>
      <w:r w:rsidR="00556D17">
        <w:rPr>
          <w:rFonts w:ascii="Arial" w:eastAsia="Arial" w:hAnsi="Arial" w:cs="Arial"/>
          <w:color w:val="000000" w:themeColor="text1"/>
          <w:sz w:val="20"/>
          <w:szCs w:val="19"/>
        </w:rPr>
        <w:t>ίδιο μήνα του</w:t>
      </w:r>
      <w:r w:rsidRPr="008B4106">
        <w:rPr>
          <w:rFonts w:ascii="Arial" w:eastAsia="Arial" w:hAnsi="Arial" w:cs="Arial"/>
          <w:color w:val="000000" w:themeColor="text1"/>
          <w:sz w:val="20"/>
          <w:szCs w:val="19"/>
        </w:rPr>
        <w:t xml:space="preserve"> 20</w:t>
      </w:r>
      <w:r>
        <w:rPr>
          <w:rFonts w:ascii="Arial" w:eastAsia="Arial" w:hAnsi="Arial" w:cs="Arial"/>
          <w:color w:val="000000" w:themeColor="text1"/>
          <w:sz w:val="20"/>
          <w:szCs w:val="19"/>
        </w:rPr>
        <w:t>20</w:t>
      </w:r>
      <w:r w:rsidRPr="008B4106">
        <w:rPr>
          <w:rFonts w:ascii="Arial" w:eastAsia="Arial" w:hAnsi="Arial" w:cs="Arial"/>
          <w:color w:val="000000" w:themeColor="text1"/>
          <w:sz w:val="20"/>
          <w:szCs w:val="19"/>
        </w:rPr>
        <w:t xml:space="preserve">, ενώ </w:t>
      </w:r>
      <w:r>
        <w:rPr>
          <w:rFonts w:ascii="Arial" w:eastAsia="Arial" w:hAnsi="Arial" w:cs="Arial"/>
          <w:color w:val="000000" w:themeColor="text1"/>
          <w:sz w:val="20"/>
          <w:szCs w:val="19"/>
        </w:rPr>
        <w:t xml:space="preserve">παρουσίασε αύξηση </w:t>
      </w:r>
      <w:r w:rsidR="00024BBB">
        <w:rPr>
          <w:rFonts w:ascii="Arial" w:eastAsia="Arial" w:hAnsi="Arial" w:cs="Arial"/>
          <w:color w:val="000000" w:themeColor="text1"/>
          <w:sz w:val="20"/>
          <w:szCs w:val="19"/>
        </w:rPr>
        <w:t xml:space="preserve">κατά </w:t>
      </w:r>
      <w:r>
        <w:rPr>
          <w:rFonts w:ascii="Arial" w:eastAsia="Arial" w:hAnsi="Arial" w:cs="Arial"/>
          <w:color w:val="000000" w:themeColor="text1"/>
          <w:sz w:val="20"/>
          <w:szCs w:val="19"/>
        </w:rPr>
        <w:t>0,9%</w:t>
      </w:r>
      <w:r w:rsidR="00024BBB">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σε σχέση με τον </w:t>
      </w:r>
      <w:r>
        <w:rPr>
          <w:rFonts w:ascii="Arial" w:eastAsia="Arial" w:hAnsi="Arial" w:cs="Arial"/>
          <w:color w:val="000000" w:themeColor="text1"/>
          <w:sz w:val="20"/>
          <w:szCs w:val="19"/>
        </w:rPr>
        <w:t>Μάρτιο</w:t>
      </w:r>
      <w:r w:rsidRPr="008B4106">
        <w:rPr>
          <w:rFonts w:ascii="Arial" w:eastAsia="Arial" w:hAnsi="Arial" w:cs="Arial"/>
          <w:color w:val="000000" w:themeColor="text1"/>
          <w:sz w:val="20"/>
          <w:szCs w:val="19"/>
        </w:rPr>
        <w:t>. Επιπλέον, ο δομικός πληθωρισμός, δηλαδή ο πληθωρισμός, εξαιρουμένων των καυσίμων, των τροφίμων, των ποτών και του καπνού</w:t>
      </w:r>
      <w:r w:rsidRPr="008B4106">
        <w:rPr>
          <w:rStyle w:val="aa"/>
          <w:rFonts w:ascii="Arial" w:eastAsia="Arial" w:hAnsi="Arial" w:cs="Arial"/>
          <w:color w:val="000000" w:themeColor="text1"/>
          <w:sz w:val="20"/>
          <w:szCs w:val="19"/>
        </w:rPr>
        <w:endnoteReference w:id="1"/>
      </w:r>
      <w:r w:rsidRPr="008B4106">
        <w:rPr>
          <w:rFonts w:ascii="Arial" w:eastAsia="Arial" w:hAnsi="Arial" w:cs="Arial"/>
          <w:color w:val="000000" w:themeColor="text1"/>
          <w:sz w:val="20"/>
          <w:szCs w:val="19"/>
        </w:rPr>
        <w:t>, διαμορφώθηκε</w:t>
      </w:r>
      <w:r w:rsidR="00024BBB">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τον </w:t>
      </w:r>
      <w:r>
        <w:rPr>
          <w:rFonts w:ascii="Arial" w:eastAsia="Arial" w:hAnsi="Arial" w:cs="Arial"/>
          <w:color w:val="000000" w:themeColor="text1"/>
          <w:sz w:val="20"/>
          <w:szCs w:val="19"/>
        </w:rPr>
        <w:t>Απρίλιο</w:t>
      </w:r>
      <w:r w:rsidR="00024BBB">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στο -1,</w:t>
      </w:r>
      <w:r>
        <w:rPr>
          <w:rFonts w:ascii="Arial" w:eastAsia="Arial" w:hAnsi="Arial" w:cs="Arial"/>
          <w:color w:val="000000" w:themeColor="text1"/>
          <w:sz w:val="20"/>
          <w:szCs w:val="19"/>
        </w:rPr>
        <w:t>6</w:t>
      </w:r>
      <w:r w:rsidRPr="008B4106">
        <w:rPr>
          <w:rFonts w:ascii="Arial" w:eastAsia="Arial" w:hAnsi="Arial" w:cs="Arial"/>
          <w:color w:val="000000" w:themeColor="text1"/>
          <w:sz w:val="20"/>
          <w:szCs w:val="19"/>
        </w:rPr>
        <w:t>%.</w:t>
      </w:r>
      <w:r>
        <w:rPr>
          <w:rFonts w:ascii="Arial" w:eastAsia="Arial" w:hAnsi="Arial" w:cs="Arial"/>
          <w:color w:val="000000" w:themeColor="text1"/>
          <w:sz w:val="20"/>
          <w:szCs w:val="19"/>
        </w:rPr>
        <w:t xml:space="preserve"> </w:t>
      </w:r>
      <w:r w:rsidRPr="008B4106">
        <w:rPr>
          <w:rFonts w:ascii="Arial" w:eastAsia="Arial" w:hAnsi="Arial" w:cs="Arial"/>
          <w:color w:val="000000" w:themeColor="text1"/>
          <w:sz w:val="20"/>
          <w:szCs w:val="19"/>
        </w:rPr>
        <w:t xml:space="preserve">Όσον αφορά στις ομάδες αγαθών και υπηρεσιών, τον </w:t>
      </w:r>
      <w:r>
        <w:rPr>
          <w:rFonts w:ascii="Arial" w:eastAsia="Arial" w:hAnsi="Arial" w:cs="Arial"/>
          <w:color w:val="000000" w:themeColor="text1"/>
          <w:sz w:val="20"/>
          <w:szCs w:val="19"/>
        </w:rPr>
        <w:t>Απρίλιο</w:t>
      </w:r>
      <w:r w:rsidRPr="008B4106">
        <w:rPr>
          <w:rFonts w:ascii="Arial" w:eastAsia="Arial" w:hAnsi="Arial" w:cs="Arial"/>
          <w:color w:val="000000" w:themeColor="text1"/>
          <w:sz w:val="20"/>
          <w:szCs w:val="19"/>
        </w:rPr>
        <w:t xml:space="preserve">, η πλειονότητά τους κατέγραψε </w:t>
      </w:r>
      <w:r>
        <w:rPr>
          <w:rFonts w:ascii="Arial" w:eastAsia="Arial" w:hAnsi="Arial" w:cs="Arial"/>
          <w:color w:val="000000" w:themeColor="text1"/>
          <w:sz w:val="20"/>
          <w:szCs w:val="19"/>
        </w:rPr>
        <w:t xml:space="preserve">αρνητικό </w:t>
      </w:r>
      <w:r w:rsidRPr="008B4106">
        <w:rPr>
          <w:rFonts w:ascii="Arial" w:eastAsia="Arial" w:hAnsi="Arial" w:cs="Arial"/>
          <w:color w:val="000000" w:themeColor="text1"/>
          <w:sz w:val="20"/>
          <w:szCs w:val="19"/>
        </w:rPr>
        <w:t>ρυθμό ετήσιας μεταβολής, με τις μεγαλύτερες μειώσεις να σημ</w:t>
      </w:r>
      <w:r>
        <w:rPr>
          <w:rFonts w:ascii="Arial" w:eastAsia="Arial" w:hAnsi="Arial" w:cs="Arial"/>
          <w:color w:val="000000" w:themeColor="text1"/>
          <w:sz w:val="20"/>
          <w:szCs w:val="19"/>
        </w:rPr>
        <w:t>ειώνονται σε</w:t>
      </w:r>
      <w:r w:rsidRPr="008B4106">
        <w:rPr>
          <w:rFonts w:ascii="Arial" w:eastAsia="Arial" w:hAnsi="Arial" w:cs="Arial"/>
          <w:color w:val="000000" w:themeColor="text1"/>
          <w:sz w:val="20"/>
          <w:szCs w:val="19"/>
        </w:rPr>
        <w:t xml:space="preserve"> </w:t>
      </w:r>
      <w:bookmarkStart w:id="0" w:name="_Hlk45542284"/>
      <w:r w:rsidRPr="008B4106">
        <w:rPr>
          <w:rFonts w:ascii="Arial" w:eastAsia="Arial" w:hAnsi="Arial" w:cs="Arial"/>
          <w:color w:val="000000" w:themeColor="text1"/>
          <w:sz w:val="20"/>
          <w:szCs w:val="19"/>
        </w:rPr>
        <w:t>«</w:t>
      </w:r>
      <w:bookmarkEnd w:id="0"/>
      <w:r>
        <w:rPr>
          <w:rFonts w:ascii="Arial" w:eastAsia="Arial" w:hAnsi="Arial" w:cs="Arial"/>
          <w:color w:val="000000" w:themeColor="text1"/>
          <w:sz w:val="20"/>
          <w:szCs w:val="19"/>
        </w:rPr>
        <w:t>Επικοινωνίες» (-1,4</w:t>
      </w:r>
      <w:r w:rsidRPr="008B4106">
        <w:rPr>
          <w:rFonts w:ascii="Arial" w:eastAsia="Arial" w:hAnsi="Arial" w:cs="Arial"/>
          <w:color w:val="000000" w:themeColor="text1"/>
          <w:sz w:val="20"/>
          <w:szCs w:val="19"/>
        </w:rPr>
        <w:t>%)</w:t>
      </w:r>
      <w:r>
        <w:rPr>
          <w:rFonts w:ascii="Arial" w:eastAsia="Arial" w:hAnsi="Arial" w:cs="Arial"/>
          <w:color w:val="000000" w:themeColor="text1"/>
          <w:sz w:val="20"/>
          <w:szCs w:val="19"/>
        </w:rPr>
        <w:t xml:space="preserve">, </w:t>
      </w:r>
      <w:r w:rsidRPr="008B4106">
        <w:rPr>
          <w:rFonts w:ascii="Arial" w:eastAsia="Arial" w:hAnsi="Arial" w:cs="Arial"/>
          <w:color w:val="000000" w:themeColor="text1"/>
          <w:sz w:val="20"/>
          <w:szCs w:val="19"/>
        </w:rPr>
        <w:t>«Διατρο</w:t>
      </w:r>
      <w:r>
        <w:rPr>
          <w:rFonts w:ascii="Arial" w:eastAsia="Arial" w:hAnsi="Arial" w:cs="Arial"/>
          <w:color w:val="000000" w:themeColor="text1"/>
          <w:sz w:val="20"/>
          <w:szCs w:val="19"/>
        </w:rPr>
        <w:t>φή και μη αλκοολούχα ποτά» (-1,2%),</w:t>
      </w:r>
      <w:r w:rsidRPr="008B4106">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w:t>
      </w:r>
      <w:r w:rsidRPr="00854C47">
        <w:rPr>
          <w:rFonts w:ascii="Arial" w:eastAsia="Arial" w:hAnsi="Arial" w:cs="Arial"/>
          <w:color w:val="000000" w:themeColor="text1"/>
          <w:sz w:val="20"/>
          <w:szCs w:val="19"/>
        </w:rPr>
        <w:t>Διαρκή αγαθά-Είδη νοικοκυριού και υπηρεσίες</w:t>
      </w:r>
      <w:r>
        <w:rPr>
          <w:rFonts w:ascii="Arial" w:eastAsia="Arial" w:hAnsi="Arial" w:cs="Arial"/>
          <w:color w:val="000000" w:themeColor="text1"/>
          <w:sz w:val="20"/>
          <w:szCs w:val="19"/>
        </w:rPr>
        <w:t>» (-1,2%),</w:t>
      </w:r>
      <w:r w:rsidRPr="00854C47">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«Ένδυση και υπόδηση» (-1,1</w:t>
      </w:r>
      <w:r w:rsidRPr="00D86E1D">
        <w:rPr>
          <w:rFonts w:ascii="Arial" w:eastAsia="Arial" w:hAnsi="Arial" w:cs="Arial"/>
          <w:color w:val="000000" w:themeColor="text1"/>
          <w:sz w:val="20"/>
          <w:szCs w:val="19"/>
        </w:rPr>
        <w:t>%)</w:t>
      </w:r>
      <w:r>
        <w:rPr>
          <w:rFonts w:ascii="Arial" w:eastAsia="Arial" w:hAnsi="Arial" w:cs="Arial"/>
          <w:color w:val="000000" w:themeColor="text1"/>
          <w:sz w:val="20"/>
          <w:szCs w:val="19"/>
        </w:rPr>
        <w:t>,</w:t>
      </w:r>
      <w:r w:rsidRPr="00D86E1D">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«Υγεία» (-1%) και «</w:t>
      </w:r>
      <w:r w:rsidRPr="00854C47">
        <w:rPr>
          <w:rFonts w:ascii="Arial" w:eastAsia="Arial" w:hAnsi="Arial" w:cs="Arial"/>
          <w:color w:val="000000" w:themeColor="text1"/>
          <w:sz w:val="20"/>
          <w:szCs w:val="19"/>
        </w:rPr>
        <w:t>Αναψυχή-Πολιτιστικές δραστηριότητες</w:t>
      </w:r>
      <w:r>
        <w:rPr>
          <w:rFonts w:ascii="Arial" w:eastAsia="Arial" w:hAnsi="Arial" w:cs="Arial"/>
          <w:color w:val="000000" w:themeColor="text1"/>
          <w:sz w:val="20"/>
          <w:szCs w:val="19"/>
        </w:rPr>
        <w:t>» (-1%)</w:t>
      </w:r>
      <w:r w:rsidRPr="008B4106">
        <w:rPr>
          <w:rFonts w:ascii="Arial" w:eastAsia="Arial" w:hAnsi="Arial" w:cs="Arial"/>
          <w:color w:val="000000" w:themeColor="text1"/>
          <w:sz w:val="20"/>
          <w:szCs w:val="19"/>
        </w:rPr>
        <w:t>. Αντίθετα</w:t>
      </w:r>
      <w:r w:rsidR="00E94CB0">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άνοδος</w:t>
      </w:r>
      <w:r>
        <w:rPr>
          <w:rFonts w:ascii="Arial" w:eastAsia="Arial" w:hAnsi="Arial" w:cs="Arial"/>
          <w:color w:val="000000" w:themeColor="text1"/>
          <w:sz w:val="20"/>
          <w:szCs w:val="19"/>
        </w:rPr>
        <w:t xml:space="preserve"> του δείκτη τιμών</w:t>
      </w:r>
      <w:r w:rsidRPr="008B4106">
        <w:rPr>
          <w:rFonts w:ascii="Arial" w:eastAsia="Arial" w:hAnsi="Arial" w:cs="Arial"/>
          <w:color w:val="000000" w:themeColor="text1"/>
          <w:sz w:val="20"/>
          <w:szCs w:val="19"/>
        </w:rPr>
        <w:t xml:space="preserve"> καταγράφηκε στις κατηγορίες</w:t>
      </w:r>
      <w:r w:rsidRPr="00D86E1D">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«Μεταφορές» (+2,3</w:t>
      </w:r>
      <w:r w:rsidRPr="008B4106">
        <w:rPr>
          <w:rFonts w:ascii="Arial" w:eastAsia="Arial" w:hAnsi="Arial" w:cs="Arial"/>
          <w:color w:val="000000" w:themeColor="text1"/>
          <w:sz w:val="20"/>
          <w:szCs w:val="19"/>
        </w:rPr>
        <w:t>%)</w:t>
      </w:r>
      <w:r>
        <w:rPr>
          <w:rFonts w:ascii="Arial" w:eastAsia="Arial" w:hAnsi="Arial" w:cs="Arial"/>
          <w:color w:val="000000" w:themeColor="text1"/>
          <w:sz w:val="20"/>
          <w:szCs w:val="19"/>
        </w:rPr>
        <w:t xml:space="preserve"> και </w:t>
      </w:r>
      <w:r w:rsidRPr="008B4106">
        <w:rPr>
          <w:rFonts w:ascii="Arial" w:eastAsia="Arial" w:hAnsi="Arial" w:cs="Arial"/>
          <w:color w:val="000000" w:themeColor="text1"/>
          <w:sz w:val="20"/>
          <w:szCs w:val="19"/>
        </w:rPr>
        <w:t>«Στέγαση» (</w:t>
      </w:r>
      <w:r>
        <w:rPr>
          <w:rFonts w:ascii="Arial" w:eastAsia="Arial" w:hAnsi="Arial" w:cs="Arial"/>
          <w:color w:val="000000" w:themeColor="text1"/>
          <w:sz w:val="20"/>
          <w:szCs w:val="19"/>
        </w:rPr>
        <w:t>+1</w:t>
      </w:r>
      <w:r w:rsidRPr="008B4106">
        <w:rPr>
          <w:rFonts w:ascii="Arial" w:eastAsia="Arial" w:hAnsi="Arial" w:cs="Arial"/>
          <w:color w:val="000000" w:themeColor="text1"/>
          <w:sz w:val="20"/>
          <w:szCs w:val="19"/>
        </w:rPr>
        <w:t>,</w:t>
      </w:r>
      <w:r>
        <w:rPr>
          <w:rFonts w:ascii="Arial" w:eastAsia="Arial" w:hAnsi="Arial" w:cs="Arial"/>
          <w:color w:val="000000" w:themeColor="text1"/>
          <w:sz w:val="20"/>
          <w:szCs w:val="19"/>
        </w:rPr>
        <w:t>9</w:t>
      </w:r>
      <w:r w:rsidRPr="008B4106">
        <w:rPr>
          <w:rFonts w:ascii="Arial" w:eastAsia="Arial" w:hAnsi="Arial" w:cs="Arial"/>
          <w:color w:val="000000" w:themeColor="text1"/>
          <w:sz w:val="20"/>
          <w:szCs w:val="19"/>
        </w:rPr>
        <w:t>%)</w:t>
      </w:r>
      <w:r>
        <w:rPr>
          <w:rFonts w:ascii="Arial" w:eastAsia="Arial" w:hAnsi="Arial" w:cs="Arial"/>
          <w:color w:val="000000" w:themeColor="text1"/>
          <w:sz w:val="20"/>
          <w:szCs w:val="19"/>
        </w:rPr>
        <w:t>.</w:t>
      </w:r>
    </w:p>
    <w:p w14:paraId="584E3404" w14:textId="77777777" w:rsidR="00FC5C38" w:rsidRPr="008B4106" w:rsidRDefault="00FC5C38" w:rsidP="00FC5C38">
      <w:pPr>
        <w:spacing w:after="0" w:line="240" w:lineRule="auto"/>
        <w:ind w:left="1761" w:right="227"/>
        <w:jc w:val="both"/>
        <w:rPr>
          <w:rFonts w:ascii="Arial" w:eastAsia="Arial" w:hAnsi="Arial" w:cs="Arial"/>
          <w:color w:val="000000" w:themeColor="text1"/>
          <w:sz w:val="20"/>
          <w:szCs w:val="19"/>
        </w:rPr>
      </w:pPr>
    </w:p>
    <w:p w14:paraId="4B2E68E6" w14:textId="77777777" w:rsidR="00FC5C38" w:rsidRDefault="00FC5C38" w:rsidP="00FC5C38">
      <w:pPr>
        <w:spacing w:after="0" w:line="240" w:lineRule="auto"/>
        <w:ind w:left="1761" w:right="227"/>
        <w:jc w:val="both"/>
        <w:rPr>
          <w:rFonts w:ascii="Arial" w:eastAsia="Arial" w:hAnsi="Arial" w:cs="Arial"/>
          <w:color w:val="000000" w:themeColor="text1"/>
          <w:sz w:val="20"/>
          <w:szCs w:val="19"/>
        </w:rPr>
      </w:pPr>
      <w:r w:rsidRPr="00D86E1D">
        <w:rPr>
          <w:rFonts w:ascii="Arial" w:eastAsia="Arial" w:hAnsi="Arial" w:cs="Arial"/>
          <w:color w:val="000000" w:themeColor="text1"/>
          <w:sz w:val="20"/>
          <w:szCs w:val="19"/>
        </w:rPr>
        <w:t>Ο</w:t>
      </w:r>
      <w:r>
        <w:rPr>
          <w:rFonts w:ascii="Arial" w:eastAsia="Arial" w:hAnsi="Arial" w:cs="Arial"/>
          <w:color w:val="000000" w:themeColor="text1"/>
          <w:sz w:val="20"/>
          <w:szCs w:val="19"/>
        </w:rPr>
        <w:t xml:space="preserve"> μέσος</w:t>
      </w:r>
      <w:r w:rsidRPr="00D86E1D">
        <w:rPr>
          <w:rFonts w:ascii="Arial" w:eastAsia="Arial" w:hAnsi="Arial" w:cs="Arial"/>
          <w:color w:val="000000" w:themeColor="text1"/>
          <w:sz w:val="20"/>
          <w:szCs w:val="19"/>
        </w:rPr>
        <w:t xml:space="preserve"> ΔΤΚ μειώθηκε</w:t>
      </w:r>
      <w:r w:rsidR="00E94CB0">
        <w:rPr>
          <w:rFonts w:ascii="Arial" w:eastAsia="Arial" w:hAnsi="Arial" w:cs="Arial"/>
          <w:color w:val="000000" w:themeColor="text1"/>
          <w:sz w:val="20"/>
          <w:szCs w:val="19"/>
        </w:rPr>
        <w:t>,</w:t>
      </w:r>
      <w:r w:rsidRPr="00D86E1D">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την περίοδο Ιανουαρίου-Απριλίου</w:t>
      </w:r>
      <w:r w:rsidRPr="00D86E1D">
        <w:rPr>
          <w:rFonts w:ascii="Arial" w:eastAsia="Arial" w:hAnsi="Arial" w:cs="Arial"/>
          <w:color w:val="000000" w:themeColor="text1"/>
          <w:sz w:val="20"/>
          <w:szCs w:val="19"/>
        </w:rPr>
        <w:t xml:space="preserve">, κατά </w:t>
      </w:r>
      <w:r w:rsidRPr="000817B3">
        <w:rPr>
          <w:rFonts w:ascii="Arial" w:eastAsia="Arial" w:hAnsi="Arial" w:cs="Arial"/>
          <w:color w:val="000000" w:themeColor="text1"/>
          <w:sz w:val="20"/>
          <w:szCs w:val="19"/>
        </w:rPr>
        <w:t>1,3</w:t>
      </w:r>
      <w:r w:rsidRPr="00D86E1D">
        <w:rPr>
          <w:rFonts w:ascii="Arial" w:eastAsia="Arial" w:hAnsi="Arial" w:cs="Arial"/>
          <w:color w:val="000000" w:themeColor="text1"/>
          <w:sz w:val="20"/>
          <w:szCs w:val="19"/>
        </w:rPr>
        <w:t>%</w:t>
      </w:r>
      <w:r>
        <w:rPr>
          <w:rFonts w:ascii="Arial" w:eastAsia="Arial" w:hAnsi="Arial" w:cs="Arial"/>
          <w:color w:val="000000" w:themeColor="text1"/>
          <w:sz w:val="20"/>
          <w:szCs w:val="19"/>
        </w:rPr>
        <w:t>,</w:t>
      </w:r>
      <w:r w:rsidRPr="000822D8">
        <w:rPr>
          <w:rFonts w:ascii="Arial" w:eastAsia="Arial" w:hAnsi="Arial" w:cs="Arial"/>
          <w:color w:val="000000" w:themeColor="text1"/>
          <w:sz w:val="20"/>
          <w:szCs w:val="19"/>
        </w:rPr>
        <w:t xml:space="preserve"> </w:t>
      </w:r>
      <w:r w:rsidRPr="00D86E1D">
        <w:rPr>
          <w:rFonts w:ascii="Arial" w:eastAsia="Arial" w:hAnsi="Arial" w:cs="Arial"/>
          <w:color w:val="000000" w:themeColor="text1"/>
          <w:sz w:val="20"/>
          <w:szCs w:val="19"/>
        </w:rPr>
        <w:t>σε σύγκριση με το αντίστοιχο περυσινό διάστημα. Οι αποπληθωριστικές πιέσεις ήταν εντονότερες</w:t>
      </w:r>
      <w:r w:rsidRPr="000817B3">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 xml:space="preserve">σε </w:t>
      </w:r>
      <w:bookmarkStart w:id="1" w:name="_Hlk45542377"/>
      <w:r w:rsidRPr="00D86E1D">
        <w:rPr>
          <w:rFonts w:ascii="Arial" w:eastAsia="Arial" w:hAnsi="Arial" w:cs="Arial"/>
          <w:color w:val="000000" w:themeColor="text1"/>
          <w:sz w:val="20"/>
          <w:szCs w:val="19"/>
        </w:rPr>
        <w:t>«</w:t>
      </w:r>
      <w:bookmarkEnd w:id="1"/>
      <w:r w:rsidRPr="00D86E1D">
        <w:rPr>
          <w:rFonts w:ascii="Arial" w:eastAsia="Arial" w:hAnsi="Arial" w:cs="Arial"/>
          <w:color w:val="000000" w:themeColor="text1"/>
          <w:sz w:val="20"/>
          <w:szCs w:val="19"/>
        </w:rPr>
        <w:t>Ένδυση και υπόδηση</w:t>
      </w:r>
      <w:bookmarkStart w:id="2" w:name="_Hlk45542431"/>
      <w:r w:rsidRPr="00D86E1D">
        <w:rPr>
          <w:rFonts w:ascii="Arial" w:eastAsia="Arial" w:hAnsi="Arial" w:cs="Arial"/>
          <w:color w:val="000000" w:themeColor="text1"/>
          <w:sz w:val="20"/>
          <w:szCs w:val="19"/>
        </w:rPr>
        <w:t>»</w:t>
      </w:r>
      <w:bookmarkEnd w:id="2"/>
      <w:r w:rsidRPr="00D86E1D">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-6%),</w:t>
      </w:r>
      <w:r w:rsidRPr="00D86E1D">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«Μεταφορές» (-</w:t>
      </w:r>
      <w:r w:rsidRPr="000817B3">
        <w:rPr>
          <w:rFonts w:ascii="Arial" w:eastAsia="Arial" w:hAnsi="Arial" w:cs="Arial"/>
          <w:color w:val="000000" w:themeColor="text1"/>
          <w:sz w:val="20"/>
          <w:szCs w:val="19"/>
        </w:rPr>
        <w:t>2,2</w:t>
      </w:r>
      <w:r w:rsidRPr="00D86E1D">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και «Διαρκή αγαθά-Είδη Νοικοκυριού και Υπηρεσίες» (-2%)</w:t>
      </w:r>
      <w:r w:rsidRPr="00D86E1D">
        <w:rPr>
          <w:rFonts w:ascii="Arial" w:eastAsia="Arial" w:hAnsi="Arial" w:cs="Arial"/>
          <w:color w:val="000000" w:themeColor="text1"/>
          <w:sz w:val="20"/>
          <w:szCs w:val="19"/>
        </w:rPr>
        <w:t>. Σ</w:t>
      </w:r>
      <w:r>
        <w:rPr>
          <w:rFonts w:ascii="Arial" w:eastAsia="Arial" w:hAnsi="Arial" w:cs="Arial"/>
          <w:color w:val="000000" w:themeColor="text1"/>
          <w:sz w:val="20"/>
          <w:szCs w:val="19"/>
        </w:rPr>
        <w:t>ημειώνεται ότι, κατά το πρώτο τετράμηνο</w:t>
      </w:r>
      <w:r w:rsidRPr="00D86E1D">
        <w:rPr>
          <w:rFonts w:ascii="Arial" w:eastAsia="Arial" w:hAnsi="Arial" w:cs="Arial"/>
          <w:color w:val="000000" w:themeColor="text1"/>
          <w:sz w:val="20"/>
          <w:szCs w:val="19"/>
        </w:rPr>
        <w:t xml:space="preserve"> του 20</w:t>
      </w:r>
      <w:r>
        <w:rPr>
          <w:rFonts w:ascii="Arial" w:eastAsia="Arial" w:hAnsi="Arial" w:cs="Arial"/>
          <w:color w:val="000000" w:themeColor="text1"/>
          <w:sz w:val="20"/>
          <w:szCs w:val="19"/>
        </w:rPr>
        <w:t>20</w:t>
      </w:r>
      <w:r w:rsidRPr="00D86E1D">
        <w:rPr>
          <w:rFonts w:ascii="Arial" w:eastAsia="Arial" w:hAnsi="Arial" w:cs="Arial"/>
          <w:color w:val="000000" w:themeColor="text1"/>
          <w:sz w:val="20"/>
          <w:szCs w:val="19"/>
        </w:rPr>
        <w:t>, ο Δείκτης Τιμών Καταναλωτή είχε π</w:t>
      </w:r>
      <w:r>
        <w:rPr>
          <w:rFonts w:ascii="Arial" w:eastAsia="Arial" w:hAnsi="Arial" w:cs="Arial"/>
          <w:color w:val="000000" w:themeColor="text1"/>
          <w:sz w:val="20"/>
          <w:szCs w:val="19"/>
        </w:rPr>
        <w:t>αρουσιάσει οριακή ετήσια μείωση κατά 0,1</w:t>
      </w:r>
      <w:r w:rsidRPr="00D86E1D">
        <w:rPr>
          <w:rFonts w:ascii="Arial" w:eastAsia="Arial" w:hAnsi="Arial" w:cs="Arial"/>
          <w:color w:val="000000" w:themeColor="text1"/>
          <w:sz w:val="20"/>
          <w:szCs w:val="19"/>
        </w:rPr>
        <w:t>%.</w:t>
      </w:r>
    </w:p>
    <w:p w14:paraId="4E7B2B87" w14:textId="77777777" w:rsidR="00FC5C38" w:rsidRDefault="00FC5C38" w:rsidP="00FC5C38">
      <w:pPr>
        <w:spacing w:after="0" w:line="240" w:lineRule="auto"/>
        <w:ind w:left="1761" w:right="227"/>
        <w:jc w:val="both"/>
        <w:rPr>
          <w:rFonts w:ascii="Arial" w:eastAsia="Arial" w:hAnsi="Arial" w:cs="Arial"/>
          <w:color w:val="000000" w:themeColor="text1"/>
          <w:sz w:val="20"/>
          <w:szCs w:val="19"/>
        </w:rPr>
      </w:pPr>
    </w:p>
    <w:p w14:paraId="6641AA10" w14:textId="4FEE0A9C" w:rsidR="00FC5C38" w:rsidRDefault="00FC5C38" w:rsidP="00FC5C38">
      <w:pPr>
        <w:spacing w:after="0" w:line="240" w:lineRule="auto"/>
        <w:ind w:left="1761" w:right="227"/>
        <w:jc w:val="both"/>
        <w:rPr>
          <w:rFonts w:ascii="Arial" w:eastAsia="Arial" w:hAnsi="Arial" w:cs="Arial"/>
          <w:color w:val="000000" w:themeColor="text1"/>
          <w:sz w:val="20"/>
          <w:szCs w:val="19"/>
        </w:rPr>
      </w:pPr>
      <w:r w:rsidRPr="008B4106">
        <w:rPr>
          <w:rFonts w:ascii="Arial" w:eastAsia="Arial" w:hAnsi="Arial" w:cs="Arial"/>
          <w:color w:val="000000" w:themeColor="text1"/>
          <w:sz w:val="20"/>
          <w:szCs w:val="19"/>
        </w:rPr>
        <w:t>Επιπλέον, ο Εναρμονισμένος Δείκτης Τιμών Καταναλωτή (</w:t>
      </w:r>
      <w:proofErr w:type="spellStart"/>
      <w:r w:rsidRPr="008B4106">
        <w:rPr>
          <w:rFonts w:ascii="Arial" w:eastAsia="Arial" w:hAnsi="Arial" w:cs="Arial"/>
          <w:color w:val="000000" w:themeColor="text1"/>
          <w:sz w:val="20"/>
          <w:szCs w:val="19"/>
        </w:rPr>
        <w:t>ΕνΔΤΚ</w:t>
      </w:r>
      <w:proofErr w:type="spellEnd"/>
      <w:r w:rsidRPr="008B4106">
        <w:rPr>
          <w:rFonts w:ascii="Arial" w:eastAsia="Arial" w:hAnsi="Arial" w:cs="Arial"/>
          <w:color w:val="000000" w:themeColor="text1"/>
          <w:sz w:val="20"/>
          <w:szCs w:val="19"/>
        </w:rPr>
        <w:t>)</w:t>
      </w:r>
      <w:r w:rsidRPr="008B4106">
        <w:rPr>
          <w:rFonts w:ascii="Arial" w:eastAsia="Arial" w:hAnsi="Arial" w:cs="Arial"/>
          <w:color w:val="000000" w:themeColor="text1"/>
          <w:sz w:val="20"/>
          <w:szCs w:val="19"/>
          <w:vertAlign w:val="superscript"/>
        </w:rPr>
        <w:endnoteReference w:id="2"/>
      </w:r>
      <w:r w:rsidRPr="008B4106">
        <w:rPr>
          <w:rFonts w:ascii="Arial" w:eastAsia="Arial" w:hAnsi="Arial" w:cs="Arial"/>
          <w:color w:val="000000" w:themeColor="text1"/>
          <w:sz w:val="20"/>
          <w:szCs w:val="19"/>
          <w:vertAlign w:val="superscript"/>
        </w:rPr>
        <w:t xml:space="preserve"> </w:t>
      </w:r>
      <w:r>
        <w:rPr>
          <w:rFonts w:ascii="Arial" w:eastAsia="Arial" w:hAnsi="Arial" w:cs="Arial"/>
          <w:color w:val="000000" w:themeColor="text1"/>
          <w:sz w:val="20"/>
          <w:szCs w:val="19"/>
        </w:rPr>
        <w:t>μειώθηκε κατά 1,1</w:t>
      </w:r>
      <w:r w:rsidRPr="008B4106">
        <w:rPr>
          <w:rFonts w:ascii="Arial" w:eastAsia="Arial" w:hAnsi="Arial" w:cs="Arial"/>
          <w:color w:val="000000" w:themeColor="text1"/>
          <w:sz w:val="20"/>
          <w:szCs w:val="19"/>
        </w:rPr>
        <w:t xml:space="preserve">%, σε ετήσια βάση, τον </w:t>
      </w:r>
      <w:r>
        <w:rPr>
          <w:rFonts w:ascii="Arial" w:eastAsia="Arial" w:hAnsi="Arial" w:cs="Arial"/>
          <w:color w:val="000000" w:themeColor="text1"/>
          <w:sz w:val="20"/>
          <w:szCs w:val="19"/>
        </w:rPr>
        <w:t>Απρίλιο</w:t>
      </w:r>
      <w:r w:rsidRPr="008B4106">
        <w:rPr>
          <w:rFonts w:ascii="Arial" w:eastAsia="Arial" w:hAnsi="Arial" w:cs="Arial"/>
          <w:color w:val="000000" w:themeColor="text1"/>
          <w:sz w:val="20"/>
          <w:szCs w:val="19"/>
        </w:rPr>
        <w:t>, ενώ ο Εναρμονισμένος Δείκτης Τιμών Καταναλωτή με Σταθερούς Φόρους (</w:t>
      </w:r>
      <w:proofErr w:type="spellStart"/>
      <w:r w:rsidRPr="008B4106">
        <w:rPr>
          <w:rFonts w:ascii="Arial" w:eastAsia="Arial" w:hAnsi="Arial" w:cs="Arial"/>
          <w:color w:val="000000" w:themeColor="text1"/>
          <w:sz w:val="20"/>
          <w:szCs w:val="19"/>
        </w:rPr>
        <w:t>ΕνΔΤΚ</w:t>
      </w:r>
      <w:proofErr w:type="spellEnd"/>
      <w:r w:rsidRPr="008B4106">
        <w:rPr>
          <w:rFonts w:ascii="Arial" w:eastAsia="Arial" w:hAnsi="Arial" w:cs="Arial"/>
          <w:color w:val="000000" w:themeColor="text1"/>
          <w:sz w:val="20"/>
          <w:szCs w:val="19"/>
        </w:rPr>
        <w:t xml:space="preserve">-ΣΦ) παρουσίασε </w:t>
      </w:r>
      <w:r>
        <w:rPr>
          <w:rFonts w:ascii="Arial" w:eastAsia="Arial" w:hAnsi="Arial" w:cs="Arial"/>
          <w:color w:val="000000" w:themeColor="text1"/>
          <w:sz w:val="20"/>
          <w:szCs w:val="19"/>
        </w:rPr>
        <w:t xml:space="preserve">οριακή </w:t>
      </w:r>
      <w:r w:rsidRPr="008B4106">
        <w:rPr>
          <w:rFonts w:ascii="Arial" w:eastAsia="Arial" w:hAnsi="Arial" w:cs="Arial"/>
          <w:color w:val="000000" w:themeColor="text1"/>
          <w:sz w:val="20"/>
          <w:szCs w:val="19"/>
        </w:rPr>
        <w:t xml:space="preserve">πτώση κατά </w:t>
      </w:r>
      <w:r>
        <w:rPr>
          <w:rFonts w:ascii="Arial" w:eastAsia="Arial" w:hAnsi="Arial" w:cs="Arial"/>
          <w:color w:val="000000" w:themeColor="text1"/>
          <w:sz w:val="20"/>
          <w:szCs w:val="19"/>
        </w:rPr>
        <w:t>0,3</w:t>
      </w:r>
      <w:r w:rsidRPr="008B4106">
        <w:rPr>
          <w:rFonts w:ascii="Arial" w:eastAsia="Arial" w:hAnsi="Arial" w:cs="Arial"/>
          <w:color w:val="000000" w:themeColor="text1"/>
          <w:sz w:val="20"/>
          <w:szCs w:val="19"/>
        </w:rPr>
        <w:t>%, σε σύγκρι</w:t>
      </w:r>
      <w:r>
        <w:rPr>
          <w:rFonts w:ascii="Arial" w:eastAsia="Arial" w:hAnsi="Arial" w:cs="Arial"/>
          <w:color w:val="000000" w:themeColor="text1"/>
          <w:sz w:val="20"/>
          <w:szCs w:val="19"/>
        </w:rPr>
        <w:t xml:space="preserve">ση με τον Απρίλιο 2020 (Γράφημα </w:t>
      </w:r>
      <w:r w:rsidR="001529A8">
        <w:rPr>
          <w:rFonts w:ascii="Arial" w:eastAsia="Arial" w:hAnsi="Arial" w:cs="Arial"/>
          <w:color w:val="000000" w:themeColor="text1"/>
          <w:sz w:val="20"/>
          <w:szCs w:val="19"/>
        </w:rPr>
        <w:t>4</w:t>
      </w:r>
      <w:r w:rsidRPr="008B4106">
        <w:rPr>
          <w:rFonts w:ascii="Arial" w:eastAsia="Arial" w:hAnsi="Arial" w:cs="Arial"/>
          <w:color w:val="000000" w:themeColor="text1"/>
          <w:sz w:val="20"/>
          <w:szCs w:val="19"/>
        </w:rPr>
        <w:t xml:space="preserve">). </w:t>
      </w:r>
    </w:p>
    <w:p w14:paraId="002627B8" w14:textId="77777777" w:rsidR="00FC5C38" w:rsidRDefault="00FC5C38" w:rsidP="00FC5C38">
      <w:pPr>
        <w:spacing w:after="0" w:line="240" w:lineRule="auto"/>
        <w:ind w:left="1761" w:right="227"/>
        <w:jc w:val="both"/>
        <w:rPr>
          <w:rFonts w:ascii="Arial" w:eastAsia="Arial" w:hAnsi="Arial" w:cs="Arial"/>
          <w:color w:val="000000" w:themeColor="text1"/>
          <w:sz w:val="20"/>
          <w:szCs w:val="19"/>
          <w:highlight w:val="yellow"/>
        </w:rPr>
      </w:pPr>
    </w:p>
    <w:p w14:paraId="52CE73A4" w14:textId="76135CE4" w:rsidR="00FC5C38" w:rsidRDefault="00FC5C38" w:rsidP="00FC5C38">
      <w:pPr>
        <w:spacing w:after="0" w:line="240" w:lineRule="auto"/>
        <w:ind w:left="1761" w:right="227"/>
        <w:jc w:val="both"/>
        <w:rPr>
          <w:rFonts w:ascii="Arial" w:eastAsia="Arial" w:hAnsi="Arial" w:cs="Arial"/>
          <w:color w:val="000000" w:themeColor="text1"/>
          <w:sz w:val="20"/>
          <w:szCs w:val="19"/>
        </w:rPr>
      </w:pPr>
      <w:r w:rsidRPr="008B4106">
        <w:rPr>
          <w:rFonts w:ascii="Arial" w:eastAsia="Arial" w:hAnsi="Arial" w:cs="Arial"/>
          <w:color w:val="000000" w:themeColor="text1"/>
          <w:sz w:val="20"/>
          <w:szCs w:val="19"/>
        </w:rPr>
        <w:t xml:space="preserve">Σύμφωνα με τις </w:t>
      </w:r>
      <w:r>
        <w:rPr>
          <w:rFonts w:ascii="Arial" w:eastAsia="Arial" w:hAnsi="Arial" w:cs="Arial"/>
          <w:color w:val="000000" w:themeColor="text1"/>
          <w:sz w:val="20"/>
          <w:szCs w:val="19"/>
        </w:rPr>
        <w:t>εαρινές</w:t>
      </w:r>
      <w:r w:rsidRPr="008B4106">
        <w:rPr>
          <w:rFonts w:ascii="Arial" w:eastAsia="Arial" w:hAnsi="Arial" w:cs="Arial"/>
          <w:color w:val="000000" w:themeColor="text1"/>
          <w:sz w:val="20"/>
          <w:szCs w:val="19"/>
        </w:rPr>
        <w:t xml:space="preserve"> προβλέψεις της Ευρωπαϊκής Επιτροπής (</w:t>
      </w:r>
      <w:r w:rsidRPr="008B4106">
        <w:rPr>
          <w:rFonts w:ascii="Arial" w:eastAsia="Arial" w:hAnsi="Arial" w:cs="Arial"/>
          <w:color w:val="000000" w:themeColor="text1"/>
          <w:sz w:val="20"/>
          <w:szCs w:val="19"/>
          <w:lang w:val="en-US"/>
        </w:rPr>
        <w:t>European</w:t>
      </w:r>
      <w:r w:rsidRPr="008B4106">
        <w:rPr>
          <w:rFonts w:ascii="Arial" w:eastAsia="Arial" w:hAnsi="Arial" w:cs="Arial"/>
          <w:color w:val="000000" w:themeColor="text1"/>
          <w:sz w:val="20"/>
          <w:szCs w:val="19"/>
        </w:rPr>
        <w:t xml:space="preserve"> </w:t>
      </w:r>
      <w:r w:rsidRPr="008B4106">
        <w:rPr>
          <w:rFonts w:ascii="Arial" w:eastAsia="Arial" w:hAnsi="Arial" w:cs="Arial"/>
          <w:color w:val="000000" w:themeColor="text1"/>
          <w:sz w:val="20"/>
          <w:szCs w:val="19"/>
          <w:lang w:val="en-US"/>
        </w:rPr>
        <w:t>Economic</w:t>
      </w:r>
      <w:r w:rsidRPr="008B4106">
        <w:rPr>
          <w:rFonts w:ascii="Arial" w:eastAsia="Arial" w:hAnsi="Arial" w:cs="Arial"/>
          <w:color w:val="000000" w:themeColor="text1"/>
          <w:sz w:val="20"/>
          <w:szCs w:val="19"/>
        </w:rPr>
        <w:t xml:space="preserve"> </w:t>
      </w:r>
      <w:r w:rsidRPr="008B4106">
        <w:rPr>
          <w:rFonts w:ascii="Arial" w:eastAsia="Arial" w:hAnsi="Arial" w:cs="Arial"/>
          <w:color w:val="000000" w:themeColor="text1"/>
          <w:sz w:val="20"/>
          <w:szCs w:val="19"/>
          <w:lang w:val="en-US"/>
        </w:rPr>
        <w:t>Forecast</w:t>
      </w:r>
      <w:r w:rsidRPr="008B4106">
        <w:rPr>
          <w:rFonts w:ascii="Arial" w:eastAsia="Arial" w:hAnsi="Arial" w:cs="Arial"/>
          <w:color w:val="000000" w:themeColor="text1"/>
          <w:sz w:val="20"/>
          <w:szCs w:val="19"/>
        </w:rPr>
        <w:t xml:space="preserve">, </w:t>
      </w:r>
      <w:r>
        <w:rPr>
          <w:rFonts w:ascii="Arial" w:eastAsia="Arial" w:hAnsi="Arial" w:cs="Arial"/>
          <w:color w:val="000000" w:themeColor="text1"/>
          <w:sz w:val="20"/>
          <w:szCs w:val="19"/>
          <w:lang w:val="en-US"/>
        </w:rPr>
        <w:t>Spring</w:t>
      </w:r>
      <w:r w:rsidRPr="008B4106">
        <w:rPr>
          <w:rFonts w:ascii="Arial" w:eastAsia="Arial" w:hAnsi="Arial" w:cs="Arial"/>
          <w:color w:val="000000" w:themeColor="text1"/>
          <w:sz w:val="20"/>
          <w:szCs w:val="19"/>
        </w:rPr>
        <w:t xml:space="preserve"> 202</w:t>
      </w:r>
      <w:r w:rsidRPr="00917748">
        <w:rPr>
          <w:rFonts w:ascii="Arial" w:eastAsia="Arial" w:hAnsi="Arial" w:cs="Arial"/>
          <w:color w:val="000000" w:themeColor="text1"/>
          <w:sz w:val="20"/>
          <w:szCs w:val="19"/>
        </w:rPr>
        <w:t>1</w:t>
      </w:r>
      <w:r w:rsidRPr="008B4106">
        <w:rPr>
          <w:rFonts w:ascii="Arial" w:eastAsia="Arial" w:hAnsi="Arial" w:cs="Arial"/>
          <w:color w:val="000000" w:themeColor="text1"/>
          <w:sz w:val="20"/>
          <w:szCs w:val="19"/>
        </w:rPr>
        <w:t>), το 202</w:t>
      </w:r>
      <w:r w:rsidRPr="00917748">
        <w:rPr>
          <w:rFonts w:ascii="Arial" w:eastAsia="Arial" w:hAnsi="Arial" w:cs="Arial"/>
          <w:color w:val="000000" w:themeColor="text1"/>
          <w:sz w:val="20"/>
          <w:szCs w:val="19"/>
        </w:rPr>
        <w:t>1</w:t>
      </w:r>
      <w:r w:rsidR="00E94CB0">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ο </w:t>
      </w:r>
      <w:proofErr w:type="spellStart"/>
      <w:r w:rsidRPr="008B4106">
        <w:rPr>
          <w:rFonts w:ascii="Arial" w:eastAsia="Arial" w:hAnsi="Arial" w:cs="Arial"/>
          <w:color w:val="000000" w:themeColor="text1"/>
          <w:sz w:val="20"/>
          <w:szCs w:val="19"/>
        </w:rPr>
        <w:t>ΕνΔΤΚ</w:t>
      </w:r>
      <w:proofErr w:type="spellEnd"/>
      <w:r w:rsidRPr="008B4106">
        <w:rPr>
          <w:rFonts w:ascii="Arial" w:eastAsia="Arial" w:hAnsi="Arial" w:cs="Arial"/>
          <w:color w:val="000000" w:themeColor="text1"/>
          <w:sz w:val="20"/>
          <w:szCs w:val="19"/>
        </w:rPr>
        <w:t xml:space="preserve">, στην Ελλάδα, αναμένεται να μειωθεί </w:t>
      </w:r>
      <w:r>
        <w:rPr>
          <w:rFonts w:ascii="Arial" w:eastAsia="Arial" w:hAnsi="Arial" w:cs="Arial"/>
          <w:color w:val="000000" w:themeColor="text1"/>
          <w:sz w:val="20"/>
          <w:szCs w:val="19"/>
        </w:rPr>
        <w:t xml:space="preserve">ήπια, </w:t>
      </w:r>
      <w:r w:rsidRPr="008B4106">
        <w:rPr>
          <w:rFonts w:ascii="Arial" w:eastAsia="Arial" w:hAnsi="Arial" w:cs="Arial"/>
          <w:color w:val="000000" w:themeColor="text1"/>
          <w:sz w:val="20"/>
          <w:szCs w:val="19"/>
        </w:rPr>
        <w:t>κατά 0,</w:t>
      </w:r>
      <w:r w:rsidRPr="00917748">
        <w:rPr>
          <w:rFonts w:ascii="Arial" w:eastAsia="Arial" w:hAnsi="Arial" w:cs="Arial"/>
          <w:color w:val="000000" w:themeColor="text1"/>
          <w:sz w:val="20"/>
          <w:szCs w:val="19"/>
        </w:rPr>
        <w:t>2</w:t>
      </w:r>
      <w:r w:rsidRPr="008B4106">
        <w:rPr>
          <w:rFonts w:ascii="Arial" w:eastAsia="Arial" w:hAnsi="Arial" w:cs="Arial"/>
          <w:color w:val="000000" w:themeColor="text1"/>
          <w:sz w:val="20"/>
          <w:szCs w:val="19"/>
        </w:rPr>
        <w:t>%</w:t>
      </w:r>
      <w:r w:rsidR="00E94CB0">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σε ετήσια βάση</w:t>
      </w:r>
      <w:r w:rsidRPr="00AF1383">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λόγω της ασθενούς ζήτησης για βιομηχανικά αγαθά και υπηρεσίες</w:t>
      </w:r>
      <w:r w:rsidRPr="008B4106">
        <w:rPr>
          <w:rFonts w:ascii="Arial" w:eastAsia="Arial" w:hAnsi="Arial" w:cs="Arial"/>
          <w:color w:val="000000" w:themeColor="text1"/>
          <w:sz w:val="20"/>
          <w:szCs w:val="19"/>
        </w:rPr>
        <w:t>. Το 202</w:t>
      </w:r>
      <w:r w:rsidRPr="00917748">
        <w:rPr>
          <w:rFonts w:ascii="Arial" w:eastAsia="Arial" w:hAnsi="Arial" w:cs="Arial"/>
          <w:color w:val="000000" w:themeColor="text1"/>
          <w:sz w:val="20"/>
          <w:szCs w:val="19"/>
        </w:rPr>
        <w:t>2</w:t>
      </w:r>
      <w:r w:rsidRPr="008B4106">
        <w:rPr>
          <w:rFonts w:ascii="Arial" w:eastAsia="Arial" w:hAnsi="Arial" w:cs="Arial"/>
          <w:color w:val="000000" w:themeColor="text1"/>
          <w:sz w:val="20"/>
          <w:szCs w:val="19"/>
        </w:rPr>
        <w:t>, παράλληλα με την αναμενόμενη ανάκαμψη της οικονομικής δραστηριότητας, η Ευρωπαϊκή Επιτροπή</w:t>
      </w:r>
      <w:r>
        <w:rPr>
          <w:rFonts w:ascii="Arial" w:eastAsia="Arial" w:hAnsi="Arial" w:cs="Arial"/>
          <w:color w:val="000000" w:themeColor="text1"/>
          <w:sz w:val="20"/>
          <w:szCs w:val="19"/>
        </w:rPr>
        <w:t xml:space="preserve"> </w:t>
      </w:r>
      <w:r w:rsidRPr="008B4106">
        <w:rPr>
          <w:rFonts w:ascii="Arial" w:eastAsia="Arial" w:hAnsi="Arial" w:cs="Arial"/>
          <w:color w:val="000000" w:themeColor="text1"/>
          <w:sz w:val="20"/>
          <w:szCs w:val="19"/>
        </w:rPr>
        <w:t xml:space="preserve">προβλέπει αύξηση του επιπέδου τιμών, </w:t>
      </w:r>
      <w:r w:rsidRPr="008B4106">
        <w:rPr>
          <w:rFonts w:ascii="Arial" w:eastAsia="Arial" w:hAnsi="Arial" w:cs="Arial"/>
          <w:color w:val="000000" w:themeColor="text1"/>
          <w:sz w:val="20"/>
          <w:szCs w:val="19"/>
        </w:rPr>
        <w:lastRenderedPageBreak/>
        <w:t>κατά 0,</w:t>
      </w:r>
      <w:r w:rsidRPr="00917748">
        <w:rPr>
          <w:rFonts w:ascii="Arial" w:eastAsia="Arial" w:hAnsi="Arial" w:cs="Arial"/>
          <w:color w:val="000000" w:themeColor="text1"/>
          <w:sz w:val="20"/>
          <w:szCs w:val="19"/>
        </w:rPr>
        <w:t>6</w:t>
      </w:r>
      <w:r w:rsidRPr="008B4106">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Τέλος, η Ευρωπαϊκή Επιτροπή αναμένει άνοδο του πληθωρισμού στην Ευρωζώνη</w:t>
      </w:r>
      <w:r w:rsidRPr="008B4106">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εν μέρει λόγω των υψηλότερων ενέργειας</w:t>
      </w:r>
      <w:r w:rsidRPr="008B4106">
        <w:rPr>
          <w:rFonts w:ascii="Arial" w:eastAsia="Arial" w:hAnsi="Arial" w:cs="Arial"/>
          <w:color w:val="000000" w:themeColor="text1"/>
          <w:sz w:val="20"/>
          <w:szCs w:val="19"/>
        </w:rPr>
        <w:t xml:space="preserve">, με τον εναρμονισμένο πληθωρισμό να προβλέπεται ότι θα διαμορφωθεί </w:t>
      </w:r>
      <w:r>
        <w:rPr>
          <w:rFonts w:ascii="Arial" w:eastAsia="Arial" w:hAnsi="Arial" w:cs="Arial"/>
          <w:color w:val="000000" w:themeColor="text1"/>
          <w:sz w:val="20"/>
          <w:szCs w:val="19"/>
        </w:rPr>
        <w:t>στο +1,7%</w:t>
      </w:r>
      <w:r w:rsidR="00E94CB0">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το 202</w:t>
      </w:r>
      <w:r>
        <w:rPr>
          <w:rFonts w:ascii="Arial" w:eastAsia="Arial" w:hAnsi="Arial" w:cs="Arial"/>
          <w:color w:val="000000" w:themeColor="text1"/>
          <w:sz w:val="20"/>
          <w:szCs w:val="19"/>
        </w:rPr>
        <w:t xml:space="preserve">1 </w:t>
      </w:r>
      <w:r w:rsidRPr="008B4106">
        <w:rPr>
          <w:rFonts w:ascii="Arial" w:eastAsia="Arial" w:hAnsi="Arial" w:cs="Arial"/>
          <w:color w:val="000000" w:themeColor="text1"/>
          <w:sz w:val="20"/>
          <w:szCs w:val="19"/>
        </w:rPr>
        <w:t xml:space="preserve">και στο </w:t>
      </w:r>
      <w:r>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1,</w:t>
      </w:r>
      <w:r>
        <w:rPr>
          <w:rFonts w:ascii="Arial" w:eastAsia="Arial" w:hAnsi="Arial" w:cs="Arial"/>
          <w:color w:val="000000" w:themeColor="text1"/>
          <w:sz w:val="20"/>
          <w:szCs w:val="19"/>
        </w:rPr>
        <w:t>3</w:t>
      </w:r>
      <w:r w:rsidRPr="008B4106">
        <w:rPr>
          <w:rFonts w:ascii="Arial" w:eastAsia="Arial" w:hAnsi="Arial" w:cs="Arial"/>
          <w:color w:val="000000" w:themeColor="text1"/>
          <w:sz w:val="20"/>
          <w:szCs w:val="19"/>
        </w:rPr>
        <w:t>%</w:t>
      </w:r>
      <w:r w:rsidR="00E94CB0">
        <w:rPr>
          <w:rFonts w:ascii="Arial" w:eastAsia="Arial" w:hAnsi="Arial" w:cs="Arial"/>
          <w:color w:val="000000" w:themeColor="text1"/>
          <w:sz w:val="20"/>
          <w:szCs w:val="19"/>
        </w:rPr>
        <w:t>,</w:t>
      </w:r>
      <w:r w:rsidRPr="008B4106">
        <w:rPr>
          <w:rFonts w:ascii="Arial" w:eastAsia="Arial" w:hAnsi="Arial" w:cs="Arial"/>
          <w:color w:val="000000" w:themeColor="text1"/>
          <w:sz w:val="20"/>
          <w:szCs w:val="19"/>
        </w:rPr>
        <w:t xml:space="preserve"> το 202</w:t>
      </w:r>
      <w:r>
        <w:rPr>
          <w:rFonts w:ascii="Arial" w:eastAsia="Arial" w:hAnsi="Arial" w:cs="Arial"/>
          <w:color w:val="000000" w:themeColor="text1"/>
          <w:sz w:val="20"/>
          <w:szCs w:val="19"/>
        </w:rPr>
        <w:t>2</w:t>
      </w:r>
      <w:r w:rsidRPr="008B4106">
        <w:rPr>
          <w:rFonts w:ascii="Arial" w:eastAsia="Arial" w:hAnsi="Arial" w:cs="Arial"/>
          <w:color w:val="000000" w:themeColor="text1"/>
          <w:sz w:val="20"/>
          <w:szCs w:val="19"/>
        </w:rPr>
        <w:t xml:space="preserve"> (Γράφημα </w:t>
      </w:r>
      <w:r>
        <w:rPr>
          <w:rFonts w:ascii="Arial" w:eastAsia="Arial" w:hAnsi="Arial" w:cs="Arial"/>
          <w:color w:val="000000" w:themeColor="text1"/>
          <w:sz w:val="20"/>
          <w:szCs w:val="19"/>
        </w:rPr>
        <w:t>4</w:t>
      </w:r>
      <w:r w:rsidRPr="008B4106">
        <w:rPr>
          <w:rFonts w:ascii="Arial" w:eastAsia="Arial" w:hAnsi="Arial" w:cs="Arial"/>
          <w:color w:val="000000" w:themeColor="text1"/>
          <w:sz w:val="20"/>
          <w:szCs w:val="19"/>
        </w:rPr>
        <w:t>).</w:t>
      </w:r>
    </w:p>
    <w:p w14:paraId="55374474" w14:textId="77777777" w:rsidR="00FC5C38" w:rsidRDefault="00FC5C38" w:rsidP="00FC5C38">
      <w:pPr>
        <w:spacing w:after="0" w:line="240" w:lineRule="auto"/>
        <w:ind w:left="1761" w:right="227"/>
        <w:jc w:val="both"/>
        <w:rPr>
          <w:rFonts w:ascii="Arial" w:eastAsia="Arial" w:hAnsi="Arial" w:cs="Arial"/>
          <w:color w:val="000000" w:themeColor="text1"/>
          <w:sz w:val="20"/>
          <w:szCs w:val="19"/>
        </w:rPr>
      </w:pPr>
      <w:r w:rsidRPr="009906A8">
        <w:rPr>
          <w:noProof/>
          <w:lang w:eastAsia="el-GR"/>
        </w:rPr>
        <mc:AlternateContent>
          <mc:Choice Requires="wpg">
            <w:drawing>
              <wp:anchor distT="0" distB="0" distL="114300" distR="114300" simplePos="0" relativeHeight="251674624" behindDoc="1" locked="0" layoutInCell="1" allowOverlap="1" wp14:anchorId="53E4708D" wp14:editId="7DBEB433">
                <wp:simplePos x="0" y="0"/>
                <wp:positionH relativeFrom="margin">
                  <wp:posOffset>0</wp:posOffset>
                </wp:positionH>
                <wp:positionV relativeFrom="paragraph">
                  <wp:posOffset>57150</wp:posOffset>
                </wp:positionV>
                <wp:extent cx="7199630" cy="3114675"/>
                <wp:effectExtent l="0" t="0" r="1270" b="9525"/>
                <wp:wrapNone/>
                <wp:docPr id="48"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114675"/>
                          <a:chOff x="0" y="0"/>
                          <a:chExt cx="71809" cy="26289"/>
                        </a:xfrm>
                      </wpg:grpSpPr>
                      <wps:wsp>
                        <wps:cNvPr id="49" name="Rectangle 24"/>
                        <wps:cNvSpPr>
                          <a:spLocks noChangeArrowheads="1"/>
                        </wps:cNvSpPr>
                        <wps:spPr bwMode="auto">
                          <a:xfrm>
                            <a:off x="0" y="0"/>
                            <a:ext cx="10090" cy="26289"/>
                          </a:xfrm>
                          <a:prstGeom prst="rect">
                            <a:avLst/>
                          </a:pr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DE68E3" w14:textId="77777777" w:rsidR="00FC5C38" w:rsidRPr="00737631" w:rsidRDefault="00FC5C38" w:rsidP="00FC5C38">
                              <w:pPr>
                                <w:jc w:val="center"/>
                                <w:rPr>
                                  <w:rFonts w:ascii="Arial" w:hAnsi="Arial" w:cs="Arial"/>
                                  <w:color w:val="E24C37"/>
                                  <w:spacing w:val="-4"/>
                                  <w:sz w:val="18"/>
                                  <w:lang w:val="en-US"/>
                                </w:rPr>
                              </w:pPr>
                              <w:r w:rsidRPr="007C1BC2">
                                <w:rPr>
                                  <w:rFonts w:ascii="Arial" w:hAnsi="Arial" w:cs="Arial"/>
                                  <w:color w:val="E24C37"/>
                                  <w:spacing w:val="-4"/>
                                  <w:sz w:val="18"/>
                                  <w:lang w:val="en-US"/>
                                </w:rPr>
                                <w:br/>
                              </w:r>
                              <w:r w:rsidRPr="000753F7">
                                <w:rPr>
                                  <w:rFonts w:ascii="Arial" w:hAnsi="Arial" w:cs="Arial"/>
                                  <w:color w:val="E24C37"/>
                                  <w:spacing w:val="-4"/>
                                  <w:sz w:val="18"/>
                                </w:rPr>
                                <w:t>ΓΡΑΦΗΜΑ</w:t>
                              </w:r>
                              <w:r w:rsidRPr="007C1BC2">
                                <w:rPr>
                                  <w:rFonts w:ascii="Arial" w:hAnsi="Arial" w:cs="Arial"/>
                                  <w:color w:val="E24C37"/>
                                  <w:spacing w:val="-4"/>
                                  <w:sz w:val="18"/>
                                  <w:lang w:val="en-US"/>
                                </w:rPr>
                                <w:t xml:space="preserve"> </w:t>
                              </w:r>
                              <w:r>
                                <w:rPr>
                                  <w:rFonts w:ascii="Arial" w:hAnsi="Arial" w:cs="Arial"/>
                                  <w:color w:val="E24C37"/>
                                  <w:spacing w:val="-4"/>
                                  <w:sz w:val="18"/>
                                  <w:lang w:val="en-US"/>
                                </w:rPr>
                                <w:t>4</w:t>
                              </w:r>
                            </w:p>
                            <w:p w14:paraId="506AA94D" w14:textId="77777777" w:rsidR="00FC5C38" w:rsidRPr="007C1BC2" w:rsidRDefault="00FC5C38" w:rsidP="00FC5C38">
                              <w:pPr>
                                <w:jc w:val="center"/>
                                <w:rPr>
                                  <w:rFonts w:ascii="Arial" w:hAnsi="Arial" w:cs="Arial"/>
                                  <w:color w:val="E24C37"/>
                                  <w:spacing w:val="-4"/>
                                  <w:sz w:val="18"/>
                                  <w:lang w:val="en-US"/>
                                </w:rPr>
                              </w:pPr>
                            </w:p>
                            <w:p w14:paraId="26EDCAD6" w14:textId="77777777" w:rsidR="00FC5C38" w:rsidRPr="007C1BC2" w:rsidRDefault="00FC5C38" w:rsidP="00FC5C38">
                              <w:pPr>
                                <w:jc w:val="center"/>
                                <w:rPr>
                                  <w:rFonts w:ascii="Arial" w:hAnsi="Arial" w:cs="Arial"/>
                                  <w:color w:val="E24C37"/>
                                  <w:spacing w:val="-4"/>
                                  <w:sz w:val="18"/>
                                  <w:lang w:val="en-US"/>
                                </w:rPr>
                              </w:pPr>
                            </w:p>
                            <w:p w14:paraId="0B8B41BF" w14:textId="77777777" w:rsidR="00FC5C38" w:rsidRPr="007C1BC2" w:rsidRDefault="00FC5C38" w:rsidP="00FC5C38">
                              <w:pPr>
                                <w:jc w:val="center"/>
                                <w:rPr>
                                  <w:rFonts w:ascii="Arial" w:hAnsi="Arial" w:cs="Arial"/>
                                  <w:color w:val="E24C37"/>
                                  <w:spacing w:val="-4"/>
                                  <w:sz w:val="18"/>
                                  <w:lang w:val="en-US"/>
                                </w:rPr>
                              </w:pPr>
                            </w:p>
                            <w:p w14:paraId="7865F33B" w14:textId="77777777" w:rsidR="00FC5C38" w:rsidRDefault="00FC5C38" w:rsidP="00FC5C38">
                              <w:pPr>
                                <w:jc w:val="center"/>
                                <w:rPr>
                                  <w:rFonts w:ascii="Arial" w:hAnsi="Arial" w:cs="Arial"/>
                                  <w:color w:val="E24C37"/>
                                  <w:spacing w:val="-4"/>
                                  <w:sz w:val="18"/>
                                  <w:lang w:val="en-US"/>
                                </w:rPr>
                              </w:pPr>
                            </w:p>
                            <w:p w14:paraId="7A311D22" w14:textId="77777777" w:rsidR="00FC5C38" w:rsidRPr="007C1BC2" w:rsidRDefault="00FC5C38" w:rsidP="00FC5C38">
                              <w:pPr>
                                <w:jc w:val="center"/>
                                <w:rPr>
                                  <w:rFonts w:ascii="Arial" w:hAnsi="Arial" w:cs="Arial"/>
                                  <w:color w:val="E24C37"/>
                                  <w:spacing w:val="-4"/>
                                  <w:sz w:val="18"/>
                                  <w:lang w:val="en-US"/>
                                </w:rPr>
                              </w:pPr>
                            </w:p>
                            <w:p w14:paraId="4937A78C" w14:textId="77777777" w:rsidR="00FC5C38" w:rsidRPr="007C1BC2" w:rsidRDefault="00FC5C38" w:rsidP="00FC5C38">
                              <w:pPr>
                                <w:jc w:val="center"/>
                                <w:rPr>
                                  <w:rFonts w:ascii="Arial" w:hAnsi="Arial" w:cs="Arial"/>
                                  <w:color w:val="E24C37"/>
                                  <w:spacing w:val="-4"/>
                                  <w:sz w:val="18"/>
                                  <w:lang w:val="en-US"/>
                                </w:rPr>
                              </w:pPr>
                            </w:p>
                            <w:p w14:paraId="77238BFC" w14:textId="77777777" w:rsidR="00FC5C38" w:rsidRPr="0071790D" w:rsidRDefault="00FC5C38" w:rsidP="00FC5C38">
                              <w:pPr>
                                <w:jc w:val="center"/>
                                <w:rPr>
                                  <w:rFonts w:ascii="Arial" w:hAnsi="Arial" w:cs="Arial"/>
                                  <w:color w:val="000000"/>
                                  <w:sz w:val="18"/>
                                  <w:lang w:val="en-US"/>
                                </w:rPr>
                              </w:pPr>
                              <w:r w:rsidRPr="00516FBD">
                                <w:rPr>
                                  <w:rFonts w:ascii="Arial" w:hAnsi="Arial" w:cs="Arial"/>
                                  <w:color w:val="000000"/>
                                  <w:spacing w:val="-4"/>
                                  <w:sz w:val="18"/>
                                </w:rPr>
                                <w:t>Πηγή</w:t>
                              </w:r>
                              <w:r w:rsidRPr="0071790D">
                                <w:rPr>
                                  <w:rFonts w:ascii="Arial" w:hAnsi="Arial" w:cs="Arial"/>
                                  <w:color w:val="000000"/>
                                  <w:spacing w:val="-4"/>
                                  <w:sz w:val="18"/>
                                  <w:lang w:val="en-US"/>
                                </w:rPr>
                                <w:t xml:space="preserve">: </w:t>
                              </w:r>
                              <w:r>
                                <w:rPr>
                                  <w:rFonts w:ascii="Arial" w:hAnsi="Arial" w:cs="Arial"/>
                                  <w:color w:val="000000"/>
                                  <w:spacing w:val="-4"/>
                                  <w:sz w:val="18"/>
                                  <w:lang w:val="en-US"/>
                                </w:rPr>
                                <w:t>E</w:t>
                              </w:r>
                              <w:r>
                                <w:rPr>
                                  <w:rFonts w:ascii="Arial" w:hAnsi="Arial" w:cs="Arial"/>
                                  <w:color w:val="000000"/>
                                  <w:spacing w:val="-4"/>
                                  <w:sz w:val="18"/>
                                </w:rPr>
                                <w:t>ΛΣΤΑΤ</w:t>
                              </w:r>
                              <w:r w:rsidRPr="0071790D">
                                <w:rPr>
                                  <w:rFonts w:ascii="Arial" w:hAnsi="Arial" w:cs="Arial"/>
                                  <w:color w:val="000000"/>
                                  <w:spacing w:val="-4"/>
                                  <w:sz w:val="18"/>
                                  <w:lang w:val="en-US"/>
                                </w:rPr>
                                <w:t xml:space="preserve">, </w:t>
                              </w:r>
                              <w:r>
                                <w:rPr>
                                  <w:rFonts w:ascii="Arial" w:hAnsi="Arial" w:cs="Arial"/>
                                  <w:color w:val="000000"/>
                                  <w:spacing w:val="-4"/>
                                  <w:sz w:val="18"/>
                                  <w:lang w:val="en-US"/>
                                </w:rPr>
                                <w:t>Eurostat</w:t>
                              </w:r>
                              <w:r w:rsidRPr="0071790D">
                                <w:rPr>
                                  <w:rFonts w:ascii="Arial" w:hAnsi="Arial" w:cs="Arial"/>
                                  <w:color w:val="000000"/>
                                  <w:spacing w:val="-4"/>
                                  <w:sz w:val="18"/>
                                  <w:lang w:val="en-US"/>
                                </w:rPr>
                                <w:t xml:space="preserve">, </w:t>
                              </w:r>
                              <w:r w:rsidRPr="0071790D">
                                <w:rPr>
                                  <w:rFonts w:ascii="Arial" w:hAnsi="Arial" w:cs="Arial"/>
                                  <w:color w:val="000000"/>
                                  <w:spacing w:val="-4"/>
                                  <w:sz w:val="18"/>
                                </w:rPr>
                                <w:t>Ευρωπαϊκή</w:t>
                              </w:r>
                              <w:r w:rsidRPr="0071790D">
                                <w:rPr>
                                  <w:rFonts w:ascii="Arial" w:hAnsi="Arial" w:cs="Arial"/>
                                  <w:color w:val="000000"/>
                                  <w:spacing w:val="-4"/>
                                  <w:sz w:val="18"/>
                                  <w:lang w:val="en-US"/>
                                </w:rPr>
                                <w:t xml:space="preserve"> </w:t>
                              </w:r>
                              <w:r w:rsidRPr="0071790D">
                                <w:rPr>
                                  <w:rFonts w:ascii="Arial" w:hAnsi="Arial" w:cs="Arial"/>
                                  <w:color w:val="000000"/>
                                  <w:spacing w:val="-4"/>
                                  <w:sz w:val="18"/>
                                </w:rPr>
                                <w:t>Επιτροπή</w:t>
                              </w:r>
                              <w:r w:rsidRPr="0071790D">
                                <w:rPr>
                                  <w:rFonts w:ascii="Arial" w:hAnsi="Arial" w:cs="Arial"/>
                                  <w:color w:val="000000"/>
                                  <w:spacing w:val="-4"/>
                                  <w:sz w:val="18"/>
                                  <w:lang w:val="en-US"/>
                                </w:rPr>
                                <w:t xml:space="preserve"> (European Economic Forecast, </w:t>
                              </w:r>
                              <w:r>
                                <w:rPr>
                                  <w:rFonts w:ascii="Arial" w:hAnsi="Arial" w:cs="Arial"/>
                                  <w:color w:val="000000"/>
                                  <w:spacing w:val="-4"/>
                                  <w:sz w:val="18"/>
                                  <w:lang w:val="en-GB"/>
                                </w:rPr>
                                <w:t>Spring</w:t>
                              </w:r>
                              <w:r w:rsidRPr="0071790D">
                                <w:rPr>
                                  <w:rFonts w:ascii="Arial" w:hAnsi="Arial" w:cs="Arial"/>
                                  <w:color w:val="000000"/>
                                  <w:spacing w:val="-4"/>
                                  <w:sz w:val="18"/>
                                  <w:lang w:val="en-US"/>
                                </w:rPr>
                                <w:t xml:space="preserve"> 202</w:t>
                              </w:r>
                              <w:r>
                                <w:rPr>
                                  <w:rFonts w:ascii="Arial" w:hAnsi="Arial" w:cs="Arial"/>
                                  <w:color w:val="000000"/>
                                  <w:spacing w:val="-4"/>
                                  <w:sz w:val="18"/>
                                  <w:lang w:val="en-US"/>
                                </w:rPr>
                                <w:t>1</w:t>
                              </w:r>
                              <w:r w:rsidRPr="0071790D">
                                <w:rPr>
                                  <w:rFonts w:ascii="Arial" w:hAnsi="Arial" w:cs="Arial"/>
                                  <w:color w:val="000000"/>
                                  <w:spacing w:val="-4"/>
                                  <w:sz w:val="18"/>
                                  <w:lang w:val="en-US"/>
                                </w:rPr>
                                <w:t>)</w:t>
                              </w:r>
                            </w:p>
                            <w:p w14:paraId="29BE327E" w14:textId="77777777" w:rsidR="00FC5C38" w:rsidRPr="0071790D" w:rsidRDefault="00FC5C38" w:rsidP="00FC5C38">
                              <w:pPr>
                                <w:jc w:val="center"/>
                                <w:rPr>
                                  <w:rFonts w:ascii="Arial" w:hAnsi="Arial" w:cs="Arial"/>
                                  <w:color w:val="000000"/>
                                  <w:sz w:val="18"/>
                                  <w:lang w:val="en-US"/>
                                </w:rPr>
                              </w:pPr>
                            </w:p>
                            <w:p w14:paraId="00A3CDA4" w14:textId="77777777" w:rsidR="00FC5C38" w:rsidRPr="0071790D" w:rsidRDefault="00FC5C38" w:rsidP="00FC5C38">
                              <w:pPr>
                                <w:jc w:val="center"/>
                                <w:rPr>
                                  <w:rFonts w:ascii="Arial" w:hAnsi="Arial" w:cs="Arial"/>
                                  <w:color w:val="C00000"/>
                                  <w:sz w:val="18"/>
                                  <w:lang w:val="en-US"/>
                                </w:rPr>
                              </w:pPr>
                            </w:p>
                          </w:txbxContent>
                        </wps:txbx>
                        <wps:bodyPr rot="0" vert="horz" wrap="square" lIns="91440" tIns="45720" rIns="91440" bIns="45720" anchor="t" anchorCtr="0" upright="1">
                          <a:noAutofit/>
                        </wps:bodyPr>
                      </wps:wsp>
                      <wps:wsp>
                        <wps:cNvPr id="50" name="Freeform 364"/>
                        <wps:cNvSpPr>
                          <a:spLocks/>
                        </wps:cNvSpPr>
                        <wps:spPr bwMode="auto">
                          <a:xfrm>
                            <a:off x="11159" y="0"/>
                            <a:ext cx="60650"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60276121" w14:textId="77777777" w:rsidR="00FC5C38" w:rsidRPr="00E7691F" w:rsidRDefault="00FC5C38" w:rsidP="00FC5C38">
                              <w:pPr>
                                <w:pStyle w:val="a4"/>
                                <w:kinsoku w:val="0"/>
                                <w:overflowPunct w:val="0"/>
                                <w:spacing w:line="200" w:lineRule="exact"/>
                                <w:rPr>
                                  <w:sz w:val="20"/>
                                  <w:lang w:val="el-GR"/>
                                </w:rPr>
                              </w:pPr>
                              <w:r w:rsidRPr="00C30220">
                                <w:rPr>
                                  <w:color w:val="0E3B70"/>
                                  <w:sz w:val="20"/>
                                  <w:szCs w:val="20"/>
                                  <w:lang w:val="el-GR"/>
                                </w:rPr>
                                <w:t>Η ε</w:t>
                              </w:r>
                              <w:r w:rsidRPr="007C1BC2">
                                <w:rPr>
                                  <w:color w:val="0E3B70"/>
                                  <w:sz w:val="20"/>
                                  <w:szCs w:val="20"/>
                                  <w:lang w:val="el-GR"/>
                                </w:rPr>
                                <w:t xml:space="preserve">ξέλιξη </w:t>
                              </w:r>
                              <w:r w:rsidRPr="00C30220">
                                <w:rPr>
                                  <w:color w:val="0E3B70"/>
                                  <w:sz w:val="20"/>
                                  <w:szCs w:val="20"/>
                                  <w:lang w:val="el-GR"/>
                                </w:rPr>
                                <w:t xml:space="preserve">του </w:t>
                              </w:r>
                              <w:proofErr w:type="spellStart"/>
                              <w:r>
                                <w:rPr>
                                  <w:color w:val="0E3B70"/>
                                  <w:sz w:val="20"/>
                                  <w:szCs w:val="20"/>
                                  <w:lang w:val="el-GR"/>
                                </w:rPr>
                                <w:t>Εν</w:t>
                              </w:r>
                              <w:r w:rsidRPr="007C1BC2">
                                <w:rPr>
                                  <w:color w:val="0E3B70"/>
                                  <w:sz w:val="20"/>
                                  <w:szCs w:val="20"/>
                                  <w:lang w:val="el-GR"/>
                                </w:rPr>
                                <w:t>ΔΤΚ</w:t>
                              </w:r>
                              <w:proofErr w:type="spellEnd"/>
                              <w:r>
                                <w:rPr>
                                  <w:color w:val="0E3B70"/>
                                  <w:sz w:val="20"/>
                                  <w:szCs w:val="20"/>
                                  <w:lang w:val="el-GR"/>
                                </w:rPr>
                                <w:t xml:space="preserve"> σε Ελλ</w:t>
                              </w:r>
                              <w:r w:rsidRPr="00C30220">
                                <w:rPr>
                                  <w:color w:val="0E3B70"/>
                                  <w:sz w:val="20"/>
                                  <w:szCs w:val="20"/>
                                  <w:lang w:val="el-GR"/>
                                </w:rPr>
                                <w:t>άδα και Ευρωζώνη</w:t>
                              </w:r>
                              <w:r>
                                <w:rPr>
                                  <w:color w:val="0E3B70"/>
                                  <w:sz w:val="20"/>
                                  <w:szCs w:val="20"/>
                                  <w:lang w:val="el-GR"/>
                                </w:rPr>
                                <w:t xml:space="preserve"> και ο εναρμονισμένος πληθωρισμός </w:t>
                              </w:r>
                              <w:r w:rsidRPr="007C1BC2">
                                <w:rPr>
                                  <w:color w:val="0E3B70"/>
                                  <w:sz w:val="20"/>
                                  <w:szCs w:val="20"/>
                                  <w:lang w:val="el-GR"/>
                                </w:rPr>
                                <w:t>με στα</w:t>
                              </w:r>
                              <w:r>
                                <w:rPr>
                                  <w:color w:val="0E3B70"/>
                                  <w:sz w:val="20"/>
                                  <w:szCs w:val="20"/>
                                  <w:lang w:val="el-GR"/>
                                </w:rPr>
                                <w:t>θερούς φορολογικούς συντελεστές</w:t>
                              </w:r>
                              <w:r w:rsidRPr="00C30220">
                                <w:rPr>
                                  <w:color w:val="0E3B70"/>
                                  <w:sz w:val="20"/>
                                  <w:szCs w:val="20"/>
                                  <w:lang w:val="el-GR"/>
                                </w:rPr>
                                <w:t xml:space="preserve"> στη χώρα μας</w:t>
                              </w:r>
                              <w:r w:rsidRPr="000C753C">
                                <w:rPr>
                                  <w:color w:val="0E3B70"/>
                                  <w:sz w:val="20"/>
                                  <w:szCs w:val="20"/>
                                  <w:lang w:val="el-GR"/>
                                </w:rPr>
                                <w:t xml:space="preserve"> </w:t>
                              </w:r>
                              <w:r w:rsidRPr="000C753C">
                                <w:rPr>
                                  <w:color w:val="0E3B70"/>
                                  <w:sz w:val="20"/>
                                  <w:szCs w:val="20"/>
                                  <w:lang w:val="el-GR"/>
                                </w:rPr>
                                <w:br/>
                              </w:r>
                              <w:r w:rsidRPr="009906A8">
                                <w:rPr>
                                  <w:noProof/>
                                  <w:sz w:val="20"/>
                                  <w:lang w:val="el-GR" w:eastAsia="el-GR"/>
                                </w:rPr>
                                <w:drawing>
                                  <wp:inline distT="0" distB="0" distL="0" distR="0" wp14:anchorId="3A8B0425" wp14:editId="022ADD8E">
                                    <wp:extent cx="5947410" cy="47277"/>
                                    <wp:effectExtent l="0" t="0" r="0" b="0"/>
                                    <wp:docPr id="33" name="Εικόνα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61C62A48" w14:textId="77777777" w:rsidR="00FC5C38" w:rsidRPr="005F4DC6" w:rsidRDefault="00FC5C38" w:rsidP="00FC5C38">
                              <w:pPr>
                                <w:tabs>
                                  <w:tab w:val="left" w:pos="2410"/>
                                </w:tabs>
                                <w:spacing w:line="240" w:lineRule="auto"/>
                                <w:rPr>
                                  <w:rFonts w:ascii="Arial" w:hAnsi="Arial" w:cs="Arial"/>
                                  <w:sz w:val="20"/>
                                </w:rPr>
                              </w:pPr>
                              <w:r w:rsidRPr="00EE6A25">
                                <w:rPr>
                                  <w:noProof/>
                                  <w:lang w:eastAsia="el-GR"/>
                                </w:rPr>
                                <w:drawing>
                                  <wp:inline distT="0" distB="0" distL="0" distR="0" wp14:anchorId="41824975" wp14:editId="3E48E22D">
                                    <wp:extent cx="5791200" cy="26765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0" cy="2676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3E4708D" id="_x0000_s1035" style="position:absolute;left:0;text-align:left;margin-left:0;margin-top:4.5pt;width:566.9pt;height:245.25pt;z-index:-251641856;mso-position-horizontal-relative:margin;mso-height-relative:margin" coordsize="7180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">
                <v:rect id="Rectangle 24" o:spid="_x0000_s1036"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" fillcolor="#e5e4de" stroked="f">
                  <v:textbox>
                    <w:txbxContent>
                      <w:p w14:paraId="55DE68E3" w14:textId="77777777" w:rsidR="00FC5C38" w:rsidRPr="00737631" w:rsidRDefault="00FC5C38" w:rsidP="00FC5C38">
                        <w:pPr>
                          <w:jc w:val="center"/>
                          <w:rPr>
                            <w:rFonts w:ascii="Arial" w:hAnsi="Arial" w:cs="Arial"/>
                            <w:color w:val="E24C37"/>
                            <w:spacing w:val="-4"/>
                            <w:sz w:val="18"/>
                            <w:lang w:val="en-US"/>
                          </w:rPr>
                        </w:pPr>
                        <w:r w:rsidRPr="007C1BC2">
                          <w:rPr>
                            <w:rFonts w:ascii="Arial" w:hAnsi="Arial" w:cs="Arial"/>
                            <w:color w:val="E24C37"/>
                            <w:spacing w:val="-4"/>
                            <w:sz w:val="18"/>
                            <w:lang w:val="en-US"/>
                          </w:rPr>
                          <w:br/>
                        </w:r>
                        <w:r w:rsidRPr="000753F7">
                          <w:rPr>
                            <w:rFonts w:ascii="Arial" w:hAnsi="Arial" w:cs="Arial"/>
                            <w:color w:val="E24C37"/>
                            <w:spacing w:val="-4"/>
                            <w:sz w:val="18"/>
                          </w:rPr>
                          <w:t>ΓΡΑΦΗΜΑ</w:t>
                        </w:r>
                        <w:r w:rsidRPr="007C1BC2">
                          <w:rPr>
                            <w:rFonts w:ascii="Arial" w:hAnsi="Arial" w:cs="Arial"/>
                            <w:color w:val="E24C37"/>
                            <w:spacing w:val="-4"/>
                            <w:sz w:val="18"/>
                            <w:lang w:val="en-US"/>
                          </w:rPr>
                          <w:t xml:space="preserve"> </w:t>
                        </w:r>
                        <w:r>
                          <w:rPr>
                            <w:rFonts w:ascii="Arial" w:hAnsi="Arial" w:cs="Arial"/>
                            <w:color w:val="E24C37"/>
                            <w:spacing w:val="-4"/>
                            <w:sz w:val="18"/>
                            <w:lang w:val="en-US"/>
                          </w:rPr>
                          <w:t>4</w:t>
                        </w:r>
                      </w:p>
                      <w:p w14:paraId="506AA94D" w14:textId="77777777" w:rsidR="00FC5C38" w:rsidRPr="007C1BC2" w:rsidRDefault="00FC5C38" w:rsidP="00FC5C38">
                        <w:pPr>
                          <w:jc w:val="center"/>
                          <w:rPr>
                            <w:rFonts w:ascii="Arial" w:hAnsi="Arial" w:cs="Arial"/>
                            <w:color w:val="E24C37"/>
                            <w:spacing w:val="-4"/>
                            <w:sz w:val="18"/>
                            <w:lang w:val="en-US"/>
                          </w:rPr>
                        </w:pPr>
                      </w:p>
                      <w:p w14:paraId="26EDCAD6" w14:textId="77777777" w:rsidR="00FC5C38" w:rsidRPr="007C1BC2" w:rsidRDefault="00FC5C38" w:rsidP="00FC5C38">
                        <w:pPr>
                          <w:jc w:val="center"/>
                          <w:rPr>
                            <w:rFonts w:ascii="Arial" w:hAnsi="Arial" w:cs="Arial"/>
                            <w:color w:val="E24C37"/>
                            <w:spacing w:val="-4"/>
                            <w:sz w:val="18"/>
                            <w:lang w:val="en-US"/>
                          </w:rPr>
                        </w:pPr>
                      </w:p>
                      <w:p w14:paraId="0B8B41BF" w14:textId="77777777" w:rsidR="00FC5C38" w:rsidRPr="007C1BC2" w:rsidRDefault="00FC5C38" w:rsidP="00FC5C38">
                        <w:pPr>
                          <w:jc w:val="center"/>
                          <w:rPr>
                            <w:rFonts w:ascii="Arial" w:hAnsi="Arial" w:cs="Arial"/>
                            <w:color w:val="E24C37"/>
                            <w:spacing w:val="-4"/>
                            <w:sz w:val="18"/>
                            <w:lang w:val="en-US"/>
                          </w:rPr>
                        </w:pPr>
                      </w:p>
                      <w:p w14:paraId="7865F33B" w14:textId="77777777" w:rsidR="00FC5C38" w:rsidRDefault="00FC5C38" w:rsidP="00FC5C38">
                        <w:pPr>
                          <w:jc w:val="center"/>
                          <w:rPr>
                            <w:rFonts w:ascii="Arial" w:hAnsi="Arial" w:cs="Arial"/>
                            <w:color w:val="E24C37"/>
                            <w:spacing w:val="-4"/>
                            <w:sz w:val="18"/>
                            <w:lang w:val="en-US"/>
                          </w:rPr>
                        </w:pPr>
                      </w:p>
                      <w:p w14:paraId="7A311D22" w14:textId="77777777" w:rsidR="00FC5C38" w:rsidRPr="007C1BC2" w:rsidRDefault="00FC5C38" w:rsidP="00FC5C38">
                        <w:pPr>
                          <w:jc w:val="center"/>
                          <w:rPr>
                            <w:rFonts w:ascii="Arial" w:hAnsi="Arial" w:cs="Arial"/>
                            <w:color w:val="E24C37"/>
                            <w:spacing w:val="-4"/>
                            <w:sz w:val="18"/>
                            <w:lang w:val="en-US"/>
                          </w:rPr>
                        </w:pPr>
                      </w:p>
                      <w:p w14:paraId="4937A78C" w14:textId="77777777" w:rsidR="00FC5C38" w:rsidRPr="007C1BC2" w:rsidRDefault="00FC5C38" w:rsidP="00FC5C38">
                        <w:pPr>
                          <w:jc w:val="center"/>
                          <w:rPr>
                            <w:rFonts w:ascii="Arial" w:hAnsi="Arial" w:cs="Arial"/>
                            <w:color w:val="E24C37"/>
                            <w:spacing w:val="-4"/>
                            <w:sz w:val="18"/>
                            <w:lang w:val="en-US"/>
                          </w:rPr>
                        </w:pPr>
                      </w:p>
                      <w:p w14:paraId="77238BFC" w14:textId="77777777" w:rsidR="00FC5C38" w:rsidRPr="0071790D" w:rsidRDefault="00FC5C38" w:rsidP="00FC5C38">
                        <w:pPr>
                          <w:jc w:val="center"/>
                          <w:rPr>
                            <w:rFonts w:ascii="Arial" w:hAnsi="Arial" w:cs="Arial"/>
                            <w:color w:val="000000"/>
                            <w:sz w:val="18"/>
                            <w:lang w:val="en-US"/>
                          </w:rPr>
                        </w:pPr>
                        <w:r w:rsidRPr="00516FBD">
                          <w:rPr>
                            <w:rFonts w:ascii="Arial" w:hAnsi="Arial" w:cs="Arial"/>
                            <w:color w:val="000000"/>
                            <w:spacing w:val="-4"/>
                            <w:sz w:val="18"/>
                          </w:rPr>
                          <w:t>Πηγή</w:t>
                        </w:r>
                        <w:r w:rsidRPr="0071790D">
                          <w:rPr>
                            <w:rFonts w:ascii="Arial" w:hAnsi="Arial" w:cs="Arial"/>
                            <w:color w:val="000000"/>
                            <w:spacing w:val="-4"/>
                            <w:sz w:val="18"/>
                            <w:lang w:val="en-US"/>
                          </w:rPr>
                          <w:t xml:space="preserve">: </w:t>
                        </w:r>
                        <w:r>
                          <w:rPr>
                            <w:rFonts w:ascii="Arial" w:hAnsi="Arial" w:cs="Arial"/>
                            <w:color w:val="000000"/>
                            <w:spacing w:val="-4"/>
                            <w:sz w:val="18"/>
                            <w:lang w:val="en-US"/>
                          </w:rPr>
                          <w:t>E</w:t>
                        </w:r>
                        <w:r>
                          <w:rPr>
                            <w:rFonts w:ascii="Arial" w:hAnsi="Arial" w:cs="Arial"/>
                            <w:color w:val="000000"/>
                            <w:spacing w:val="-4"/>
                            <w:sz w:val="18"/>
                          </w:rPr>
                          <w:t>ΛΣΤΑΤ</w:t>
                        </w:r>
                        <w:r w:rsidRPr="0071790D">
                          <w:rPr>
                            <w:rFonts w:ascii="Arial" w:hAnsi="Arial" w:cs="Arial"/>
                            <w:color w:val="000000"/>
                            <w:spacing w:val="-4"/>
                            <w:sz w:val="18"/>
                            <w:lang w:val="en-US"/>
                          </w:rPr>
                          <w:t xml:space="preserve">, </w:t>
                        </w:r>
                        <w:r>
                          <w:rPr>
                            <w:rFonts w:ascii="Arial" w:hAnsi="Arial" w:cs="Arial"/>
                            <w:color w:val="000000"/>
                            <w:spacing w:val="-4"/>
                            <w:sz w:val="18"/>
                            <w:lang w:val="en-US"/>
                          </w:rPr>
                          <w:t>Eurostat</w:t>
                        </w:r>
                        <w:r w:rsidRPr="0071790D">
                          <w:rPr>
                            <w:rFonts w:ascii="Arial" w:hAnsi="Arial" w:cs="Arial"/>
                            <w:color w:val="000000"/>
                            <w:spacing w:val="-4"/>
                            <w:sz w:val="18"/>
                            <w:lang w:val="en-US"/>
                          </w:rPr>
                          <w:t xml:space="preserve">, </w:t>
                        </w:r>
                        <w:r w:rsidRPr="0071790D">
                          <w:rPr>
                            <w:rFonts w:ascii="Arial" w:hAnsi="Arial" w:cs="Arial"/>
                            <w:color w:val="000000"/>
                            <w:spacing w:val="-4"/>
                            <w:sz w:val="18"/>
                          </w:rPr>
                          <w:t>Ευρωπαϊκή</w:t>
                        </w:r>
                        <w:r w:rsidRPr="0071790D">
                          <w:rPr>
                            <w:rFonts w:ascii="Arial" w:hAnsi="Arial" w:cs="Arial"/>
                            <w:color w:val="000000"/>
                            <w:spacing w:val="-4"/>
                            <w:sz w:val="18"/>
                            <w:lang w:val="en-US"/>
                          </w:rPr>
                          <w:t xml:space="preserve"> </w:t>
                        </w:r>
                        <w:r w:rsidRPr="0071790D">
                          <w:rPr>
                            <w:rFonts w:ascii="Arial" w:hAnsi="Arial" w:cs="Arial"/>
                            <w:color w:val="000000"/>
                            <w:spacing w:val="-4"/>
                            <w:sz w:val="18"/>
                          </w:rPr>
                          <w:t>Επιτροπή</w:t>
                        </w:r>
                        <w:r w:rsidRPr="0071790D">
                          <w:rPr>
                            <w:rFonts w:ascii="Arial" w:hAnsi="Arial" w:cs="Arial"/>
                            <w:color w:val="000000"/>
                            <w:spacing w:val="-4"/>
                            <w:sz w:val="18"/>
                            <w:lang w:val="en-US"/>
                          </w:rPr>
                          <w:t xml:space="preserve"> (European Economic Forecast, </w:t>
                        </w:r>
                        <w:r>
                          <w:rPr>
                            <w:rFonts w:ascii="Arial" w:hAnsi="Arial" w:cs="Arial"/>
                            <w:color w:val="000000"/>
                            <w:spacing w:val="-4"/>
                            <w:sz w:val="18"/>
                            <w:lang w:val="en-GB"/>
                          </w:rPr>
                          <w:t>Spring</w:t>
                        </w:r>
                        <w:r w:rsidRPr="0071790D">
                          <w:rPr>
                            <w:rFonts w:ascii="Arial" w:hAnsi="Arial" w:cs="Arial"/>
                            <w:color w:val="000000"/>
                            <w:spacing w:val="-4"/>
                            <w:sz w:val="18"/>
                            <w:lang w:val="en-US"/>
                          </w:rPr>
                          <w:t xml:space="preserve"> 202</w:t>
                        </w:r>
                        <w:r>
                          <w:rPr>
                            <w:rFonts w:ascii="Arial" w:hAnsi="Arial" w:cs="Arial"/>
                            <w:color w:val="000000"/>
                            <w:spacing w:val="-4"/>
                            <w:sz w:val="18"/>
                            <w:lang w:val="en-US"/>
                          </w:rPr>
                          <w:t>1</w:t>
                        </w:r>
                        <w:r w:rsidRPr="0071790D">
                          <w:rPr>
                            <w:rFonts w:ascii="Arial" w:hAnsi="Arial" w:cs="Arial"/>
                            <w:color w:val="000000"/>
                            <w:spacing w:val="-4"/>
                            <w:sz w:val="18"/>
                            <w:lang w:val="en-US"/>
                          </w:rPr>
                          <w:t>)</w:t>
                        </w:r>
                      </w:p>
                      <w:p w14:paraId="29BE327E" w14:textId="77777777" w:rsidR="00FC5C38" w:rsidRPr="0071790D" w:rsidRDefault="00FC5C38" w:rsidP="00FC5C38">
                        <w:pPr>
                          <w:jc w:val="center"/>
                          <w:rPr>
                            <w:rFonts w:ascii="Arial" w:hAnsi="Arial" w:cs="Arial"/>
                            <w:color w:val="000000"/>
                            <w:sz w:val="18"/>
                            <w:lang w:val="en-US"/>
                          </w:rPr>
                        </w:pPr>
                      </w:p>
                      <w:p w14:paraId="00A3CDA4" w14:textId="77777777" w:rsidR="00FC5C38" w:rsidRPr="0071790D" w:rsidRDefault="00FC5C38" w:rsidP="00FC5C38">
                        <w:pPr>
                          <w:jc w:val="center"/>
                          <w:rPr>
                            <w:rFonts w:ascii="Arial" w:hAnsi="Arial" w:cs="Arial"/>
                            <w:color w:val="C00000"/>
                            <w:sz w:val="18"/>
                            <w:lang w:val="en-US"/>
                          </w:rPr>
                        </w:pPr>
                      </w:p>
                    </w:txbxContent>
                  </v:textbox>
                </v:rect>
                <v:shape id="Freeform 364" o:spid="_x0000_s1037" style="position:absolute;left:11159;width:60650;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" adj="-11796480,,5400" path="m9585,l,,,4123r9585,l9585,xe" fillcolor="#e5e4de" stroked="f">
                  <v:stroke joinstyle="miter"/>
                  <v:formulas/>
                  <v:path arrowok="t" o:connecttype="custom" o:connectlocs="38508732,0;0,0;0,16754221;38508732,16754221;38508732,0" o:connectangles="0,0,0,0,0" textboxrect="0,0,9586,4124"/>
                  <v:textbox>
                    <w:txbxContent>
                      <w:p w14:paraId="60276121" w14:textId="77777777" w:rsidR="00FC5C38" w:rsidRPr="00E7691F" w:rsidRDefault="00FC5C38" w:rsidP="00FC5C38">
                        <w:pPr>
                          <w:pStyle w:val="BodyText"/>
                          <w:kinsoku w:val="0"/>
                          <w:overflowPunct w:val="0"/>
                          <w:spacing w:line="200" w:lineRule="exact"/>
                          <w:rPr>
                            <w:sz w:val="20"/>
                            <w:lang w:val="el-GR"/>
                          </w:rPr>
                        </w:pPr>
                        <w:r w:rsidRPr="00C30220">
                          <w:rPr>
                            <w:color w:val="0E3B70"/>
                            <w:sz w:val="20"/>
                            <w:szCs w:val="20"/>
                            <w:lang w:val="el-GR"/>
                          </w:rPr>
                          <w:t>Η ε</w:t>
                        </w:r>
                        <w:r w:rsidRPr="007C1BC2">
                          <w:rPr>
                            <w:color w:val="0E3B70"/>
                            <w:sz w:val="20"/>
                            <w:szCs w:val="20"/>
                            <w:lang w:val="el-GR"/>
                          </w:rPr>
                          <w:t xml:space="preserve">ξέλιξη </w:t>
                        </w:r>
                        <w:r w:rsidRPr="00C30220">
                          <w:rPr>
                            <w:color w:val="0E3B70"/>
                            <w:sz w:val="20"/>
                            <w:szCs w:val="20"/>
                            <w:lang w:val="el-GR"/>
                          </w:rPr>
                          <w:t xml:space="preserve">του </w:t>
                        </w:r>
                        <w:r>
                          <w:rPr>
                            <w:color w:val="0E3B70"/>
                            <w:sz w:val="20"/>
                            <w:szCs w:val="20"/>
                            <w:lang w:val="el-GR"/>
                          </w:rPr>
                          <w:t>Εν</w:t>
                        </w:r>
                        <w:r w:rsidRPr="007C1BC2">
                          <w:rPr>
                            <w:color w:val="0E3B70"/>
                            <w:sz w:val="20"/>
                            <w:szCs w:val="20"/>
                            <w:lang w:val="el-GR"/>
                          </w:rPr>
                          <w:t>ΔΤΚ</w:t>
                        </w:r>
                        <w:r>
                          <w:rPr>
                            <w:color w:val="0E3B70"/>
                            <w:sz w:val="20"/>
                            <w:szCs w:val="20"/>
                            <w:lang w:val="el-GR"/>
                          </w:rPr>
                          <w:t xml:space="preserve"> σε Ελλ</w:t>
                        </w:r>
                        <w:r w:rsidRPr="00C30220">
                          <w:rPr>
                            <w:color w:val="0E3B70"/>
                            <w:sz w:val="20"/>
                            <w:szCs w:val="20"/>
                            <w:lang w:val="el-GR"/>
                          </w:rPr>
                          <w:t>άδα και Ευρωζώνη</w:t>
                        </w:r>
                        <w:r>
                          <w:rPr>
                            <w:color w:val="0E3B70"/>
                            <w:sz w:val="20"/>
                            <w:szCs w:val="20"/>
                            <w:lang w:val="el-GR"/>
                          </w:rPr>
                          <w:t xml:space="preserve"> και ο εναρμονισμένος πληθωρισμός </w:t>
                        </w:r>
                        <w:r w:rsidRPr="007C1BC2">
                          <w:rPr>
                            <w:color w:val="0E3B70"/>
                            <w:sz w:val="20"/>
                            <w:szCs w:val="20"/>
                            <w:lang w:val="el-GR"/>
                          </w:rPr>
                          <w:t>με στα</w:t>
                        </w:r>
                        <w:r>
                          <w:rPr>
                            <w:color w:val="0E3B70"/>
                            <w:sz w:val="20"/>
                            <w:szCs w:val="20"/>
                            <w:lang w:val="el-GR"/>
                          </w:rPr>
                          <w:t>θερούς φορολογικούς συντελεστές</w:t>
                        </w:r>
                        <w:r w:rsidRPr="00C30220">
                          <w:rPr>
                            <w:color w:val="0E3B70"/>
                            <w:sz w:val="20"/>
                            <w:szCs w:val="20"/>
                            <w:lang w:val="el-GR"/>
                          </w:rPr>
                          <w:t xml:space="preserve"> στη χώρα μας</w:t>
                        </w:r>
                        <w:r w:rsidRPr="000C753C">
                          <w:rPr>
                            <w:color w:val="0E3B70"/>
                            <w:sz w:val="20"/>
                            <w:szCs w:val="20"/>
                            <w:lang w:val="el-GR"/>
                          </w:rPr>
                          <w:t xml:space="preserve"> </w:t>
                        </w:r>
                        <w:r w:rsidRPr="000C753C">
                          <w:rPr>
                            <w:color w:val="0E3B70"/>
                            <w:sz w:val="20"/>
                            <w:szCs w:val="20"/>
                            <w:lang w:val="el-GR"/>
                          </w:rPr>
                          <w:br/>
                        </w:r>
                        <w:r w:rsidRPr="009906A8">
                          <w:rPr>
                            <w:noProof/>
                            <w:sz w:val="20"/>
                            <w:lang w:val="el-GR" w:eastAsia="el-GR"/>
                          </w:rPr>
                          <w:drawing>
                            <wp:inline distT="0" distB="0" distL="0" distR="0" wp14:anchorId="3A8B0425" wp14:editId="022ADD8E">
                              <wp:extent cx="5947410" cy="47277"/>
                              <wp:effectExtent l="0" t="0" r="0" b="0"/>
                              <wp:docPr id="33" name="Εικόνα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61C62A48" w14:textId="77777777" w:rsidR="00FC5C38" w:rsidRPr="005F4DC6" w:rsidRDefault="00FC5C38" w:rsidP="00FC5C38">
                        <w:pPr>
                          <w:tabs>
                            <w:tab w:val="left" w:pos="2410"/>
                          </w:tabs>
                          <w:spacing w:line="240" w:lineRule="auto"/>
                          <w:rPr>
                            <w:rFonts w:ascii="Arial" w:hAnsi="Arial" w:cs="Arial"/>
                            <w:sz w:val="20"/>
                          </w:rPr>
                        </w:pPr>
                        <w:r w:rsidRPr="00EE6A25">
                          <w:rPr>
                            <w:noProof/>
                            <w:lang w:eastAsia="el-GR"/>
                          </w:rPr>
                          <w:drawing>
                            <wp:inline distT="0" distB="0" distL="0" distR="0" wp14:anchorId="41824975" wp14:editId="3E48E22D">
                              <wp:extent cx="5791200" cy="26765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1200" cy="2676525"/>
                                      </a:xfrm>
                                      <a:prstGeom prst="rect">
                                        <a:avLst/>
                                      </a:prstGeom>
                                      <a:noFill/>
                                      <a:ln>
                                        <a:noFill/>
                                      </a:ln>
                                    </pic:spPr>
                                  </pic:pic>
                                </a:graphicData>
                              </a:graphic>
                            </wp:inline>
                          </w:drawing>
                        </w:r>
                      </w:p>
                    </w:txbxContent>
                  </v:textbox>
                </v:shape>
                <w10:wrap anchorx="margin"/>
              </v:group>
            </w:pict>
          </mc:Fallback>
        </mc:AlternateContent>
      </w:r>
    </w:p>
    <w:p w14:paraId="4449F141" w14:textId="77777777" w:rsidR="00FC5C38" w:rsidRPr="00423C11" w:rsidRDefault="00FC5C38" w:rsidP="00FC5C38">
      <w:pPr>
        <w:spacing w:after="0" w:line="240" w:lineRule="auto"/>
        <w:ind w:left="1761" w:right="227"/>
        <w:jc w:val="both"/>
        <w:rPr>
          <w:rFonts w:eastAsia="Arial" w:cs="Arial"/>
          <w:color w:val="000000" w:themeColor="text1"/>
          <w:sz w:val="20"/>
          <w:szCs w:val="19"/>
        </w:rPr>
      </w:pPr>
    </w:p>
    <w:p w14:paraId="63B91FA8" w14:textId="77777777" w:rsidR="00FC5C38" w:rsidRPr="00423C11" w:rsidRDefault="00FC5C38" w:rsidP="00FC5C38">
      <w:pPr>
        <w:spacing w:after="0" w:line="240" w:lineRule="auto"/>
        <w:ind w:right="227"/>
        <w:jc w:val="both"/>
        <w:rPr>
          <w:rFonts w:ascii="Arial" w:eastAsia="Arial" w:hAnsi="Arial" w:cs="Arial"/>
          <w:sz w:val="20"/>
          <w:szCs w:val="19"/>
        </w:rPr>
      </w:pPr>
    </w:p>
    <w:p w14:paraId="50005017" w14:textId="77777777" w:rsidR="00FC5C38" w:rsidRPr="000C26FD" w:rsidRDefault="00FC5C38" w:rsidP="00FC5C38">
      <w:pPr>
        <w:spacing w:after="0" w:line="240" w:lineRule="auto"/>
        <w:ind w:left="1758" w:right="227"/>
        <w:jc w:val="both"/>
        <w:rPr>
          <w:rFonts w:ascii="Arial" w:eastAsia="Arial" w:hAnsi="Arial" w:cs="Arial"/>
          <w:szCs w:val="19"/>
        </w:rPr>
      </w:pPr>
    </w:p>
    <w:p w14:paraId="370D56F3" w14:textId="77777777" w:rsidR="00FC5C38" w:rsidRDefault="00FC5C38" w:rsidP="00FC5C38">
      <w:pPr>
        <w:ind w:left="1780" w:right="227"/>
        <w:jc w:val="both"/>
        <w:rPr>
          <w:rFonts w:ascii="Arial" w:eastAsia="Arial" w:hAnsi="Arial" w:cs="Arial"/>
          <w:color w:val="231F20"/>
          <w:sz w:val="20"/>
          <w:szCs w:val="19"/>
        </w:rPr>
      </w:pPr>
    </w:p>
    <w:p w14:paraId="15CD84E4" w14:textId="77777777" w:rsidR="00FC5C38" w:rsidRDefault="00FC5C38" w:rsidP="00FC5C38">
      <w:pPr>
        <w:rPr>
          <w:rFonts w:ascii="Arial" w:eastAsia="Arial" w:hAnsi="Arial" w:cs="Arial"/>
          <w:color w:val="231F20"/>
          <w:sz w:val="20"/>
          <w:szCs w:val="20"/>
        </w:rPr>
      </w:pPr>
    </w:p>
    <w:p w14:paraId="086FE5CA" w14:textId="77777777" w:rsidR="00FC5C38" w:rsidRDefault="00FC5C38" w:rsidP="00FC5C38">
      <w:pPr>
        <w:pStyle w:val="a4"/>
        <w:kinsoku w:val="0"/>
        <w:overflowPunct w:val="0"/>
        <w:spacing w:before="69"/>
        <w:ind w:left="1780" w:right="170"/>
        <w:jc w:val="both"/>
        <w:rPr>
          <w:color w:val="231F20"/>
          <w:sz w:val="20"/>
          <w:szCs w:val="20"/>
          <w:lang w:val="el-GR"/>
        </w:rPr>
      </w:pPr>
    </w:p>
    <w:p w14:paraId="47CF2A62" w14:textId="77777777" w:rsidR="00FC5C38" w:rsidRDefault="00FC5C38" w:rsidP="00FC5C38">
      <w:pPr>
        <w:pStyle w:val="a4"/>
        <w:kinsoku w:val="0"/>
        <w:overflowPunct w:val="0"/>
        <w:spacing w:before="69"/>
        <w:ind w:left="1780" w:right="170"/>
        <w:jc w:val="both"/>
        <w:rPr>
          <w:color w:val="231F20"/>
          <w:sz w:val="20"/>
          <w:szCs w:val="20"/>
          <w:lang w:val="el-GR"/>
        </w:rPr>
      </w:pPr>
    </w:p>
    <w:p w14:paraId="7199CDB0" w14:textId="77777777" w:rsidR="00FC5C38" w:rsidRDefault="00FC5C38" w:rsidP="00FC5C38">
      <w:pPr>
        <w:pStyle w:val="a4"/>
        <w:kinsoku w:val="0"/>
        <w:overflowPunct w:val="0"/>
        <w:spacing w:before="69"/>
        <w:ind w:left="1780" w:right="170"/>
        <w:jc w:val="both"/>
        <w:rPr>
          <w:color w:val="231F20"/>
          <w:sz w:val="20"/>
          <w:szCs w:val="20"/>
          <w:lang w:val="el-GR"/>
        </w:rPr>
      </w:pPr>
    </w:p>
    <w:p w14:paraId="3474BBD8" w14:textId="77777777" w:rsidR="00FC5C38" w:rsidRDefault="00FC5C38" w:rsidP="00FC5C38">
      <w:pPr>
        <w:pStyle w:val="a4"/>
        <w:kinsoku w:val="0"/>
        <w:overflowPunct w:val="0"/>
        <w:spacing w:before="69"/>
        <w:ind w:left="1780" w:right="170"/>
        <w:jc w:val="both"/>
        <w:rPr>
          <w:color w:val="231F20"/>
          <w:sz w:val="20"/>
          <w:szCs w:val="20"/>
          <w:lang w:val="el-GR"/>
        </w:rPr>
      </w:pPr>
    </w:p>
    <w:p w14:paraId="7D571E50" w14:textId="77777777" w:rsidR="00FC5C38" w:rsidRDefault="00FC5C38" w:rsidP="00FC5C38">
      <w:pPr>
        <w:pStyle w:val="a4"/>
        <w:kinsoku w:val="0"/>
        <w:overflowPunct w:val="0"/>
        <w:spacing w:before="69"/>
        <w:ind w:left="1780" w:right="170"/>
        <w:jc w:val="both"/>
        <w:rPr>
          <w:color w:val="231F20"/>
          <w:sz w:val="20"/>
          <w:szCs w:val="20"/>
          <w:lang w:val="el-GR"/>
        </w:rPr>
      </w:pPr>
    </w:p>
    <w:p w14:paraId="1232E2E5" w14:textId="77777777" w:rsidR="00FC5C38" w:rsidRDefault="00FC5C38" w:rsidP="00FC5C38">
      <w:pPr>
        <w:pStyle w:val="a4"/>
        <w:kinsoku w:val="0"/>
        <w:overflowPunct w:val="0"/>
        <w:spacing w:before="69"/>
        <w:ind w:left="1780" w:right="170"/>
        <w:jc w:val="both"/>
        <w:rPr>
          <w:color w:val="231F20"/>
          <w:sz w:val="20"/>
          <w:szCs w:val="20"/>
          <w:lang w:val="el-GR"/>
        </w:rPr>
      </w:pPr>
    </w:p>
    <w:p w14:paraId="45371A2C" w14:textId="77777777" w:rsidR="00FC5C38" w:rsidRDefault="00FC5C38" w:rsidP="00FC5C38">
      <w:pPr>
        <w:pStyle w:val="a4"/>
        <w:kinsoku w:val="0"/>
        <w:overflowPunct w:val="0"/>
        <w:spacing w:before="69"/>
        <w:ind w:left="1780" w:right="170"/>
        <w:jc w:val="both"/>
        <w:rPr>
          <w:color w:val="231F20"/>
          <w:sz w:val="20"/>
          <w:szCs w:val="20"/>
          <w:lang w:val="el-GR"/>
        </w:rPr>
      </w:pPr>
    </w:p>
    <w:p w14:paraId="6DF3DF8D" w14:textId="77777777" w:rsidR="00FC5C38" w:rsidRDefault="00FC5C38" w:rsidP="00FC5C38">
      <w:pPr>
        <w:pStyle w:val="a4"/>
        <w:kinsoku w:val="0"/>
        <w:overflowPunct w:val="0"/>
        <w:spacing w:before="69"/>
        <w:ind w:left="1780" w:right="170"/>
        <w:jc w:val="both"/>
        <w:rPr>
          <w:color w:val="231F20"/>
          <w:sz w:val="20"/>
          <w:szCs w:val="20"/>
          <w:lang w:val="el-GR"/>
        </w:rPr>
      </w:pPr>
    </w:p>
    <w:p w14:paraId="3FD40EB2" w14:textId="77777777" w:rsidR="00FC5C38" w:rsidRDefault="00FC5C38" w:rsidP="00FC5C38">
      <w:pPr>
        <w:spacing w:after="0" w:line="240" w:lineRule="auto"/>
        <w:ind w:left="1761" w:right="227"/>
        <w:jc w:val="both"/>
        <w:rPr>
          <w:rFonts w:ascii="Arial" w:eastAsia="Arial" w:hAnsi="Arial" w:cs="Arial"/>
          <w:color w:val="000000" w:themeColor="text1"/>
          <w:sz w:val="20"/>
          <w:szCs w:val="19"/>
          <w:highlight w:val="yellow"/>
        </w:rPr>
      </w:pPr>
    </w:p>
    <w:p w14:paraId="4544A0D9" w14:textId="77777777" w:rsidR="00FC5C38" w:rsidRDefault="00FC5C38" w:rsidP="00FC5C38">
      <w:pPr>
        <w:spacing w:after="0" w:line="240" w:lineRule="auto"/>
        <w:ind w:left="1761" w:right="227"/>
        <w:jc w:val="both"/>
        <w:rPr>
          <w:rFonts w:ascii="Arial" w:eastAsia="Arial" w:hAnsi="Arial" w:cs="Arial"/>
          <w:color w:val="000000" w:themeColor="text1"/>
          <w:sz w:val="20"/>
          <w:szCs w:val="19"/>
          <w:highlight w:val="yellow"/>
        </w:rPr>
      </w:pPr>
    </w:p>
    <w:p w14:paraId="74DB8B08" w14:textId="77777777" w:rsidR="00FC5C38" w:rsidRDefault="00FC5C38" w:rsidP="00FC5C38">
      <w:pPr>
        <w:spacing w:after="0" w:line="240" w:lineRule="auto"/>
        <w:ind w:left="1761" w:right="227"/>
        <w:jc w:val="both"/>
        <w:rPr>
          <w:rFonts w:ascii="Arial" w:eastAsia="Arial" w:hAnsi="Arial" w:cs="Arial"/>
          <w:color w:val="000000" w:themeColor="text1"/>
          <w:sz w:val="20"/>
          <w:szCs w:val="19"/>
          <w:highlight w:val="yellow"/>
        </w:rPr>
      </w:pPr>
    </w:p>
    <w:p w14:paraId="2571A8D2" w14:textId="77777777" w:rsidR="00FC5C38" w:rsidRDefault="00FC5C38" w:rsidP="00FC5C38">
      <w:pPr>
        <w:spacing w:after="0" w:line="240" w:lineRule="auto"/>
        <w:ind w:left="1761" w:right="227"/>
        <w:jc w:val="both"/>
        <w:rPr>
          <w:rFonts w:ascii="Arial" w:eastAsia="Arial" w:hAnsi="Arial" w:cs="Arial"/>
          <w:color w:val="000000" w:themeColor="text1"/>
          <w:sz w:val="20"/>
          <w:szCs w:val="19"/>
          <w:highlight w:val="yellow"/>
        </w:rPr>
      </w:pPr>
    </w:p>
    <w:p w14:paraId="14663DF5" w14:textId="63362D86" w:rsidR="00FC5C38" w:rsidRDefault="00FC5C38" w:rsidP="00FC5C38">
      <w:pPr>
        <w:spacing w:after="0" w:line="240" w:lineRule="auto"/>
        <w:ind w:left="1761" w:right="227"/>
        <w:jc w:val="both"/>
        <w:rPr>
          <w:rFonts w:ascii="Arial" w:eastAsia="Arial" w:hAnsi="Arial" w:cs="Arial"/>
          <w:color w:val="000000" w:themeColor="text1"/>
          <w:sz w:val="8"/>
          <w:szCs w:val="19"/>
          <w:highlight w:val="yellow"/>
        </w:rPr>
      </w:pPr>
    </w:p>
    <w:p w14:paraId="307D4B6B" w14:textId="1ACD7283" w:rsidR="006D776F" w:rsidRDefault="006D776F" w:rsidP="00FC5C38">
      <w:pPr>
        <w:spacing w:after="0" w:line="240" w:lineRule="auto"/>
        <w:ind w:left="1761" w:right="227"/>
        <w:jc w:val="both"/>
        <w:rPr>
          <w:rFonts w:ascii="Arial" w:eastAsia="Arial" w:hAnsi="Arial" w:cs="Arial"/>
          <w:color w:val="000000" w:themeColor="text1"/>
          <w:sz w:val="8"/>
          <w:szCs w:val="19"/>
          <w:highlight w:val="yellow"/>
        </w:rPr>
      </w:pPr>
    </w:p>
    <w:p w14:paraId="56AEC535" w14:textId="3A1FE560" w:rsidR="00834EB4" w:rsidRDefault="00834EB4" w:rsidP="00FC5C38">
      <w:pPr>
        <w:spacing w:after="0" w:line="240" w:lineRule="auto"/>
        <w:ind w:left="1761" w:right="227"/>
        <w:jc w:val="both"/>
        <w:rPr>
          <w:rFonts w:ascii="Arial" w:eastAsia="Arial" w:hAnsi="Arial" w:cs="Arial"/>
          <w:color w:val="000000" w:themeColor="text1"/>
          <w:sz w:val="8"/>
          <w:szCs w:val="19"/>
          <w:highlight w:val="yellow"/>
        </w:rPr>
      </w:pPr>
    </w:p>
    <w:p w14:paraId="74AF6D43" w14:textId="77777777" w:rsidR="00834EB4" w:rsidRDefault="00834EB4" w:rsidP="00FC5C38">
      <w:pPr>
        <w:spacing w:after="0" w:line="240" w:lineRule="auto"/>
        <w:ind w:left="1761" w:right="227"/>
        <w:jc w:val="both"/>
        <w:rPr>
          <w:rFonts w:ascii="Arial" w:eastAsia="Arial" w:hAnsi="Arial" w:cs="Arial"/>
          <w:color w:val="000000" w:themeColor="text1"/>
          <w:sz w:val="8"/>
          <w:szCs w:val="19"/>
          <w:highlight w:val="yellow"/>
        </w:rPr>
      </w:pPr>
    </w:p>
    <w:p w14:paraId="1AF5E903" w14:textId="77777777" w:rsidR="006D776F" w:rsidRPr="00FC5C38" w:rsidRDefault="006D776F" w:rsidP="00FC5C38">
      <w:pPr>
        <w:spacing w:after="0" w:line="240" w:lineRule="auto"/>
        <w:ind w:left="1761" w:right="227"/>
        <w:jc w:val="both"/>
        <w:rPr>
          <w:rFonts w:ascii="Arial" w:eastAsia="Arial" w:hAnsi="Arial" w:cs="Arial"/>
          <w:color w:val="000000" w:themeColor="text1"/>
          <w:sz w:val="8"/>
          <w:szCs w:val="19"/>
          <w:highlight w:val="yellow"/>
        </w:rPr>
      </w:pPr>
    </w:p>
    <w:p w14:paraId="3163A64A" w14:textId="77777777" w:rsidR="00FC5C38" w:rsidRDefault="00FC5C38" w:rsidP="00FC5C38">
      <w:pPr>
        <w:spacing w:after="0" w:line="240" w:lineRule="auto"/>
        <w:ind w:left="1761" w:right="227"/>
        <w:jc w:val="both"/>
        <w:rPr>
          <w:rFonts w:ascii="Arial" w:eastAsia="Arial" w:hAnsi="Arial" w:cs="Arial"/>
          <w:color w:val="000000" w:themeColor="text1"/>
          <w:sz w:val="20"/>
          <w:szCs w:val="19"/>
          <w:highlight w:val="yellow"/>
        </w:rPr>
      </w:pPr>
    </w:p>
    <w:p w14:paraId="56EF26E5" w14:textId="77777777" w:rsidR="00FC5C38" w:rsidRPr="00A31DB8" w:rsidRDefault="00FC5C38" w:rsidP="00FC5C38">
      <w:pPr>
        <w:pStyle w:val="1"/>
        <w:pBdr>
          <w:top w:val="single" w:sz="8" w:space="1" w:color="00B0F0"/>
          <w:bottom w:val="single" w:sz="8" w:space="1" w:color="00B0F0"/>
        </w:pBdr>
        <w:kinsoku w:val="0"/>
        <w:overflowPunct w:val="0"/>
        <w:spacing w:before="0"/>
        <w:ind w:left="1758" w:right="227"/>
        <w:rPr>
          <w:color w:val="63A1AA"/>
        </w:rPr>
      </w:pPr>
      <w:r>
        <w:rPr>
          <w:color w:val="63A1AA"/>
        </w:rPr>
        <w:t>Βιομηχανική Παραγωγή</w:t>
      </w:r>
    </w:p>
    <w:p w14:paraId="2FB3FA01" w14:textId="77777777" w:rsidR="00FC5C38" w:rsidRPr="00A31DB8" w:rsidRDefault="00FC5C38" w:rsidP="00FC5C38">
      <w:pPr>
        <w:pStyle w:val="a4"/>
        <w:kinsoku w:val="0"/>
        <w:overflowPunct w:val="0"/>
        <w:spacing w:before="69"/>
        <w:ind w:right="170"/>
        <w:jc w:val="both"/>
        <w:rPr>
          <w:color w:val="231F20"/>
          <w:sz w:val="20"/>
          <w:szCs w:val="20"/>
          <w:lang w:val="el-GR"/>
        </w:rPr>
      </w:pPr>
    </w:p>
    <w:p w14:paraId="268AD7E6" w14:textId="3E50A193" w:rsidR="00FC5C38" w:rsidRPr="0084550E" w:rsidRDefault="00FC5C38" w:rsidP="00FC5C38">
      <w:pPr>
        <w:pStyle w:val="a4"/>
        <w:kinsoku w:val="0"/>
        <w:overflowPunct w:val="0"/>
        <w:ind w:left="1780" w:right="170"/>
        <w:jc w:val="both"/>
        <w:rPr>
          <w:sz w:val="20"/>
          <w:szCs w:val="20"/>
          <w:lang w:val="el-GR"/>
        </w:rPr>
      </w:pPr>
      <w:r w:rsidRPr="005C7DEE">
        <w:rPr>
          <w:sz w:val="20"/>
          <w:szCs w:val="20"/>
          <w:lang w:val="el-GR"/>
        </w:rPr>
        <w:t>Σύμφωνα με τα στοιχεία της ΕΛΣΤΑΤ, τη</w:t>
      </w:r>
      <w:r>
        <w:rPr>
          <w:sz w:val="20"/>
          <w:szCs w:val="20"/>
          <w:lang w:val="el-GR"/>
        </w:rPr>
        <w:t>ν περίοδο Ιανουαρίου-Μαρτίου</w:t>
      </w:r>
      <w:r w:rsidRPr="005C7DEE">
        <w:rPr>
          <w:sz w:val="20"/>
          <w:szCs w:val="20"/>
          <w:lang w:val="el-GR"/>
        </w:rPr>
        <w:t>, ο γενικός δείκτης της βιομηχ</w:t>
      </w:r>
      <w:r>
        <w:rPr>
          <w:sz w:val="20"/>
          <w:szCs w:val="20"/>
          <w:lang w:val="el-GR"/>
        </w:rPr>
        <w:t>ανικής παραγωγής αυξήθηκε κατά 4,5</w:t>
      </w:r>
      <w:r w:rsidRPr="005C7DEE">
        <w:rPr>
          <w:sz w:val="20"/>
          <w:szCs w:val="20"/>
          <w:lang w:val="el-GR"/>
        </w:rPr>
        <w:t>%, σε ετήσ</w:t>
      </w:r>
      <w:r>
        <w:rPr>
          <w:sz w:val="20"/>
          <w:szCs w:val="20"/>
          <w:lang w:val="el-GR"/>
        </w:rPr>
        <w:t>ια βάση, έναντι μείωσης κατά 1,1</w:t>
      </w:r>
      <w:r w:rsidRPr="005C7DEE">
        <w:rPr>
          <w:sz w:val="20"/>
          <w:szCs w:val="20"/>
          <w:lang w:val="el-GR"/>
        </w:rPr>
        <w:t>%,</w:t>
      </w:r>
      <w:r>
        <w:rPr>
          <w:sz w:val="20"/>
          <w:szCs w:val="20"/>
          <w:lang w:val="el-GR"/>
        </w:rPr>
        <w:t xml:space="preserve"> το αντίστοιχο διάστημα του 2020</w:t>
      </w:r>
      <w:r w:rsidRPr="005C7DEE">
        <w:rPr>
          <w:sz w:val="20"/>
          <w:szCs w:val="20"/>
          <w:lang w:val="el-GR"/>
        </w:rPr>
        <w:t>. Η εξέλιξη αυτή αποδίδεται στη</w:t>
      </w:r>
      <w:r>
        <w:rPr>
          <w:sz w:val="20"/>
          <w:szCs w:val="20"/>
          <w:lang w:val="el-GR"/>
        </w:rPr>
        <w:t>ν</w:t>
      </w:r>
      <w:r w:rsidRPr="005C7DEE">
        <w:rPr>
          <w:sz w:val="20"/>
          <w:szCs w:val="20"/>
          <w:lang w:val="el-GR"/>
        </w:rPr>
        <w:t xml:space="preserve"> </w:t>
      </w:r>
      <w:r>
        <w:rPr>
          <w:sz w:val="20"/>
          <w:szCs w:val="20"/>
          <w:lang w:val="el-GR"/>
        </w:rPr>
        <w:t>αύξηση</w:t>
      </w:r>
      <w:r w:rsidRPr="005C7DEE">
        <w:rPr>
          <w:sz w:val="20"/>
          <w:szCs w:val="20"/>
          <w:lang w:val="el-GR"/>
        </w:rPr>
        <w:t xml:space="preserve"> της παραγωγής που </w:t>
      </w:r>
      <w:r>
        <w:rPr>
          <w:sz w:val="20"/>
          <w:szCs w:val="20"/>
          <w:lang w:val="el-GR"/>
        </w:rPr>
        <w:t>καταγράφηκε</w:t>
      </w:r>
      <w:r w:rsidRPr="007B575A">
        <w:rPr>
          <w:sz w:val="20"/>
          <w:szCs w:val="20"/>
          <w:lang w:val="el-GR"/>
        </w:rPr>
        <w:t xml:space="preserve">, </w:t>
      </w:r>
      <w:r>
        <w:rPr>
          <w:sz w:val="20"/>
          <w:szCs w:val="20"/>
          <w:lang w:val="el-GR"/>
        </w:rPr>
        <w:t>σε ετήσια βάση</w:t>
      </w:r>
      <w:r w:rsidRPr="007B575A">
        <w:rPr>
          <w:sz w:val="20"/>
          <w:szCs w:val="20"/>
          <w:lang w:val="el-GR"/>
        </w:rPr>
        <w:t>,</w:t>
      </w:r>
      <w:r>
        <w:rPr>
          <w:sz w:val="20"/>
          <w:szCs w:val="20"/>
          <w:lang w:val="el-GR"/>
        </w:rPr>
        <w:t xml:space="preserve"> στη μεταποίηση (+2,6%) και </w:t>
      </w:r>
      <w:r w:rsidRPr="005C7DEE">
        <w:rPr>
          <w:sz w:val="20"/>
          <w:szCs w:val="20"/>
          <w:lang w:val="el-GR"/>
        </w:rPr>
        <w:t xml:space="preserve">στην </w:t>
      </w:r>
      <w:r>
        <w:rPr>
          <w:sz w:val="20"/>
          <w:szCs w:val="20"/>
          <w:lang w:val="el-GR"/>
        </w:rPr>
        <w:t>παροχή ηλεκτρικού ρεύματος (+12,8</w:t>
      </w:r>
      <w:r w:rsidRPr="005C7DEE">
        <w:rPr>
          <w:sz w:val="20"/>
          <w:szCs w:val="20"/>
          <w:lang w:val="el-GR"/>
        </w:rPr>
        <w:t>%</w:t>
      </w:r>
      <w:r>
        <w:rPr>
          <w:sz w:val="20"/>
          <w:szCs w:val="20"/>
          <w:lang w:val="el-GR"/>
        </w:rPr>
        <w:t xml:space="preserve">). </w:t>
      </w:r>
      <w:r w:rsidRPr="005C7DEE">
        <w:rPr>
          <w:sz w:val="20"/>
          <w:szCs w:val="20"/>
          <w:lang w:val="el-GR"/>
        </w:rPr>
        <w:t xml:space="preserve">Αντίθετα, </w:t>
      </w:r>
      <w:r>
        <w:rPr>
          <w:sz w:val="20"/>
          <w:szCs w:val="20"/>
          <w:lang w:val="el-GR"/>
        </w:rPr>
        <w:t>μείωση</w:t>
      </w:r>
      <w:r w:rsidRPr="005C7DEE">
        <w:rPr>
          <w:sz w:val="20"/>
          <w:szCs w:val="20"/>
          <w:lang w:val="el-GR"/>
        </w:rPr>
        <w:t xml:space="preserve"> </w:t>
      </w:r>
      <w:r>
        <w:rPr>
          <w:sz w:val="20"/>
          <w:szCs w:val="20"/>
          <w:lang w:val="el-GR"/>
        </w:rPr>
        <w:t xml:space="preserve">της </w:t>
      </w:r>
      <w:r w:rsidRPr="005C7DEE">
        <w:rPr>
          <w:sz w:val="20"/>
          <w:szCs w:val="20"/>
          <w:lang w:val="el-GR"/>
        </w:rPr>
        <w:t>παραγωγής ση</w:t>
      </w:r>
      <w:r>
        <w:rPr>
          <w:sz w:val="20"/>
          <w:szCs w:val="20"/>
          <w:lang w:val="el-GR"/>
        </w:rPr>
        <w:t>μειώθηκε στην παροχή νερού (-0,3</w:t>
      </w:r>
      <w:r w:rsidRPr="005C7DEE">
        <w:rPr>
          <w:sz w:val="20"/>
          <w:szCs w:val="20"/>
          <w:lang w:val="el-GR"/>
        </w:rPr>
        <w:t>%)</w:t>
      </w:r>
      <w:r>
        <w:rPr>
          <w:sz w:val="20"/>
          <w:szCs w:val="20"/>
          <w:lang w:val="el-GR"/>
        </w:rPr>
        <w:t xml:space="preserve"> και στα ορυχεία-λατομεία</w:t>
      </w:r>
      <w:r w:rsidR="00E94CB0">
        <w:rPr>
          <w:sz w:val="20"/>
          <w:szCs w:val="20"/>
          <w:lang w:val="el-GR"/>
        </w:rPr>
        <w:t xml:space="preserve"> </w:t>
      </w:r>
      <w:r>
        <w:rPr>
          <w:sz w:val="20"/>
          <w:szCs w:val="20"/>
          <w:lang w:val="el-GR"/>
        </w:rPr>
        <w:t>(-1,1%).</w:t>
      </w:r>
      <w:r w:rsidRPr="005C7DEE">
        <w:rPr>
          <w:sz w:val="20"/>
          <w:szCs w:val="20"/>
          <w:lang w:val="el-GR"/>
        </w:rPr>
        <w:t xml:space="preserve"> </w:t>
      </w:r>
      <w:r>
        <w:rPr>
          <w:sz w:val="20"/>
          <w:szCs w:val="20"/>
          <w:lang w:val="el-GR"/>
        </w:rPr>
        <w:t>Σημειώνεται ότι, τον Μάρτιο, ο δείκτης μεταποιητικής παραγωγής αυξήθηκε κατά 3,4%, σε ετήσια βάση, έναντι ετήσιας αύξησης 2,7%, τον προηγούμενο μήνα</w:t>
      </w:r>
      <w:r w:rsidR="006D776F">
        <w:rPr>
          <w:sz w:val="20"/>
          <w:szCs w:val="20"/>
          <w:lang w:val="el-GR"/>
        </w:rPr>
        <w:t xml:space="preserve">, ενώ και ο δείκτης των υπευθύνων για τις προμήθειες στη μεταποίηση </w:t>
      </w:r>
      <w:r w:rsidR="006D776F" w:rsidRPr="00F64565">
        <w:rPr>
          <w:sz w:val="20"/>
          <w:szCs w:val="20"/>
          <w:lang w:val="el-GR"/>
        </w:rPr>
        <w:t>(</w:t>
      </w:r>
      <w:r w:rsidR="00F31A58" w:rsidRPr="002F77A8">
        <w:rPr>
          <w:sz w:val="20"/>
        </w:rPr>
        <w:t>Purchasing</w:t>
      </w:r>
      <w:r w:rsidR="00F31A58" w:rsidRPr="00F31A58">
        <w:rPr>
          <w:sz w:val="20"/>
          <w:lang w:val="el-GR"/>
        </w:rPr>
        <w:t xml:space="preserve"> </w:t>
      </w:r>
      <w:r w:rsidR="00F31A58" w:rsidRPr="002F77A8">
        <w:rPr>
          <w:sz w:val="20"/>
        </w:rPr>
        <w:t>Managers</w:t>
      </w:r>
      <w:r w:rsidR="00F31A58" w:rsidRPr="00F31A58">
        <w:rPr>
          <w:sz w:val="20"/>
          <w:lang w:val="el-GR"/>
        </w:rPr>
        <w:t xml:space="preserve"> </w:t>
      </w:r>
      <w:r w:rsidR="00F31A58" w:rsidRPr="002F77A8">
        <w:rPr>
          <w:sz w:val="20"/>
        </w:rPr>
        <w:t>Index</w:t>
      </w:r>
      <w:r w:rsidR="00F31A58" w:rsidRPr="00F31A58">
        <w:rPr>
          <w:sz w:val="20"/>
          <w:lang w:val="el-GR"/>
        </w:rPr>
        <w:t xml:space="preserve"> - </w:t>
      </w:r>
      <w:r w:rsidR="00F31A58" w:rsidRPr="002F77A8">
        <w:rPr>
          <w:sz w:val="20"/>
        </w:rPr>
        <w:t>PMI</w:t>
      </w:r>
      <w:r w:rsidR="006D776F" w:rsidRPr="00F64565">
        <w:rPr>
          <w:sz w:val="20"/>
          <w:szCs w:val="20"/>
          <w:lang w:val="el-GR"/>
        </w:rPr>
        <w:t>)</w:t>
      </w:r>
      <w:r w:rsidR="006D776F">
        <w:rPr>
          <w:sz w:val="20"/>
          <w:szCs w:val="20"/>
          <w:lang w:val="el-GR"/>
        </w:rPr>
        <w:t xml:space="preserve"> διαμορφώθηκε τόσο τον Μάρτιο, όσο και τον Απρίλιο</w:t>
      </w:r>
      <w:r w:rsidR="006D776F" w:rsidRPr="00F64565">
        <w:rPr>
          <w:sz w:val="20"/>
          <w:szCs w:val="20"/>
          <w:lang w:val="el-GR"/>
        </w:rPr>
        <w:t>,</w:t>
      </w:r>
      <w:r w:rsidR="006D776F">
        <w:rPr>
          <w:sz w:val="20"/>
          <w:szCs w:val="20"/>
          <w:lang w:val="el-GR"/>
        </w:rPr>
        <w:t xml:space="preserve"> άνω των 50 μονάδων, γεγονός που συνεπάγεται τη βελτίωση των λειτουργικών συνθηκών του τομέα</w:t>
      </w:r>
      <w:r>
        <w:rPr>
          <w:sz w:val="20"/>
          <w:szCs w:val="20"/>
          <w:lang w:val="el-GR"/>
        </w:rPr>
        <w:t xml:space="preserve"> (Γράφημα 5). </w:t>
      </w:r>
    </w:p>
    <w:p w14:paraId="37895CBC" w14:textId="77777777" w:rsidR="00FC5C38" w:rsidRDefault="00FC5C38" w:rsidP="00FC5C38">
      <w:pPr>
        <w:pStyle w:val="a4"/>
        <w:kinsoku w:val="0"/>
        <w:overflowPunct w:val="0"/>
        <w:ind w:left="1780" w:right="170"/>
        <w:jc w:val="both"/>
        <w:rPr>
          <w:sz w:val="20"/>
          <w:szCs w:val="20"/>
          <w:lang w:val="el-GR"/>
        </w:rPr>
      </w:pPr>
    </w:p>
    <w:p w14:paraId="369FC607" w14:textId="08D0B61A" w:rsidR="00FC5C38" w:rsidRPr="00834EB4" w:rsidRDefault="00834EB4" w:rsidP="00FC5C38">
      <w:pPr>
        <w:spacing w:after="0" w:line="240" w:lineRule="auto"/>
        <w:ind w:left="1761" w:right="227"/>
        <w:jc w:val="both"/>
        <w:rPr>
          <w:rFonts w:ascii="Arial" w:eastAsia="Arial" w:hAnsi="Arial" w:cs="Arial"/>
          <w:color w:val="000000" w:themeColor="text1"/>
          <w:sz w:val="20"/>
          <w:szCs w:val="19"/>
          <w:highlight w:val="yellow"/>
        </w:rPr>
      </w:pPr>
      <w:r w:rsidRPr="00834EB4">
        <w:rPr>
          <w:rFonts w:ascii="Arial" w:hAnsi="Arial" w:cs="Arial"/>
          <w:sz w:val="20"/>
          <w:szCs w:val="20"/>
        </w:rPr>
        <w:t>Αναλυτικότερα στη μεταποίηση, κατά το πρώτο τρίμηνο, οι 14 από τους 24 κλάδους παρουσίασαν αύξηση της παραγωγής τους, σε ετήσια βάση. Οι πιο σημαντικοί εξ αυτών, με βάση τη στάθμισή τους στο δείκτη της μεταποίησης, ήταν οι κλάδοι των προϊόντων καπνού (+19,9%), του ηλεκτρολογικού εξοπλισμού (+17,8%),</w:t>
      </w:r>
    </w:p>
    <w:p w14:paraId="0FF29C0A" w14:textId="17BB6B3B" w:rsidR="00FC5C38" w:rsidRDefault="00834EB4" w:rsidP="00FC5C38">
      <w:pPr>
        <w:spacing w:after="0" w:line="240" w:lineRule="auto"/>
        <w:ind w:left="1761" w:right="227"/>
        <w:jc w:val="both"/>
        <w:rPr>
          <w:rFonts w:ascii="Arial" w:eastAsia="Arial" w:hAnsi="Arial" w:cs="Arial"/>
          <w:color w:val="000000" w:themeColor="text1"/>
          <w:sz w:val="20"/>
          <w:szCs w:val="19"/>
        </w:rPr>
      </w:pPr>
      <w:r w:rsidRPr="00012D01">
        <w:rPr>
          <w:noProof/>
          <w:lang w:eastAsia="el-GR"/>
        </w:rPr>
        <mc:AlternateContent>
          <mc:Choice Requires="wpg">
            <w:drawing>
              <wp:anchor distT="0" distB="0" distL="114300" distR="114300" simplePos="0" relativeHeight="251675648" behindDoc="1" locked="0" layoutInCell="1" allowOverlap="1" wp14:anchorId="181406B6" wp14:editId="37D1D41A">
                <wp:simplePos x="0" y="0"/>
                <wp:positionH relativeFrom="margin">
                  <wp:posOffset>0</wp:posOffset>
                </wp:positionH>
                <wp:positionV relativeFrom="paragraph">
                  <wp:posOffset>68742</wp:posOffset>
                </wp:positionV>
                <wp:extent cx="7199630" cy="3023870"/>
                <wp:effectExtent l="0" t="0" r="1270" b="5080"/>
                <wp:wrapNone/>
                <wp:docPr id="17"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023870"/>
                          <a:chOff x="0" y="0"/>
                          <a:chExt cx="71809" cy="23086"/>
                        </a:xfrm>
                      </wpg:grpSpPr>
                      <wps:wsp>
                        <wps:cNvPr id="19" name="Rectangle 24"/>
                        <wps:cNvSpPr>
                          <a:spLocks noChangeArrowheads="1"/>
                        </wps:cNvSpPr>
                        <wps:spPr bwMode="auto">
                          <a:xfrm>
                            <a:off x="0" y="0"/>
                            <a:ext cx="10090" cy="23086"/>
                          </a:xfrm>
                          <a:prstGeom prst="rect">
                            <a:avLst/>
                          </a:prstGeom>
                          <a:solidFill>
                            <a:srgbClr val="E5E4D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D03F92" w14:textId="77777777" w:rsidR="00FC5C38" w:rsidRPr="00E41C79" w:rsidRDefault="00FC5C38" w:rsidP="00FC5C38">
                              <w:pPr>
                                <w:jc w:val="center"/>
                                <w:rPr>
                                  <w:rFonts w:ascii="Arial" w:hAnsi="Arial" w:cs="Arial"/>
                                  <w:color w:val="E24C37"/>
                                  <w:spacing w:val="-4"/>
                                  <w:sz w:val="18"/>
                                </w:rPr>
                              </w:pPr>
                              <w:r>
                                <w:rPr>
                                  <w:rFonts w:ascii="Arial" w:hAnsi="Arial" w:cs="Arial"/>
                                  <w:color w:val="E24C37"/>
                                  <w:spacing w:val="-4"/>
                                  <w:sz w:val="18"/>
                                </w:rPr>
                                <w:br/>
                              </w:r>
                              <w:r w:rsidRPr="000753F7">
                                <w:rPr>
                                  <w:rFonts w:ascii="Arial" w:hAnsi="Arial" w:cs="Arial"/>
                                  <w:color w:val="E24C37"/>
                                  <w:spacing w:val="-4"/>
                                  <w:sz w:val="18"/>
                                </w:rPr>
                                <w:t>ΓΡΑΦΗΜΑ</w:t>
                              </w:r>
                              <w:r>
                                <w:rPr>
                                  <w:rFonts w:ascii="Arial" w:hAnsi="Arial" w:cs="Arial"/>
                                  <w:color w:val="E24C37"/>
                                  <w:spacing w:val="-4"/>
                                  <w:sz w:val="18"/>
                                </w:rPr>
                                <w:t xml:space="preserve"> 5</w:t>
                              </w:r>
                            </w:p>
                            <w:p w14:paraId="7623B554" w14:textId="77777777" w:rsidR="00FC5C38" w:rsidRDefault="00FC5C38" w:rsidP="00FC5C38">
                              <w:pPr>
                                <w:jc w:val="center"/>
                                <w:rPr>
                                  <w:rFonts w:ascii="Arial" w:hAnsi="Arial" w:cs="Arial"/>
                                  <w:color w:val="E24C37"/>
                                  <w:spacing w:val="-4"/>
                                  <w:sz w:val="18"/>
                                </w:rPr>
                              </w:pPr>
                            </w:p>
                            <w:p w14:paraId="52F049EE" w14:textId="77777777" w:rsidR="00FC5C38" w:rsidRDefault="00FC5C38" w:rsidP="00FC5C38">
                              <w:pPr>
                                <w:jc w:val="center"/>
                                <w:rPr>
                                  <w:rFonts w:ascii="Arial" w:hAnsi="Arial" w:cs="Arial"/>
                                  <w:color w:val="E24C37"/>
                                  <w:spacing w:val="-4"/>
                                  <w:sz w:val="18"/>
                                </w:rPr>
                              </w:pPr>
                            </w:p>
                            <w:p w14:paraId="67511762" w14:textId="77777777" w:rsidR="00FC5C38" w:rsidRDefault="00FC5C38" w:rsidP="00FC5C38">
                              <w:pPr>
                                <w:jc w:val="center"/>
                                <w:rPr>
                                  <w:rFonts w:ascii="Arial" w:hAnsi="Arial" w:cs="Arial"/>
                                  <w:color w:val="E24C37"/>
                                  <w:spacing w:val="-4"/>
                                  <w:sz w:val="18"/>
                                </w:rPr>
                              </w:pPr>
                            </w:p>
                            <w:p w14:paraId="2CFB0855" w14:textId="77777777" w:rsidR="00FC5C38" w:rsidRDefault="00FC5C38" w:rsidP="00FC5C38">
                              <w:pPr>
                                <w:jc w:val="center"/>
                                <w:rPr>
                                  <w:rFonts w:ascii="Arial" w:hAnsi="Arial" w:cs="Arial"/>
                                  <w:color w:val="E24C37"/>
                                  <w:spacing w:val="-4"/>
                                  <w:sz w:val="18"/>
                                </w:rPr>
                              </w:pPr>
                            </w:p>
                            <w:p w14:paraId="357B76C7" w14:textId="77777777" w:rsidR="00FC5C38" w:rsidRDefault="00FC5C38" w:rsidP="00FC5C38">
                              <w:pPr>
                                <w:jc w:val="center"/>
                                <w:rPr>
                                  <w:rFonts w:ascii="Arial" w:hAnsi="Arial" w:cs="Arial"/>
                                  <w:color w:val="E24C37"/>
                                  <w:spacing w:val="-4"/>
                                  <w:sz w:val="18"/>
                                </w:rPr>
                              </w:pPr>
                            </w:p>
                            <w:p w14:paraId="5C887839" w14:textId="77777777" w:rsidR="00FC5C38" w:rsidRDefault="00FC5C38" w:rsidP="00FC5C38">
                              <w:pPr>
                                <w:jc w:val="center"/>
                                <w:rPr>
                                  <w:rFonts w:ascii="Arial" w:hAnsi="Arial" w:cs="Arial"/>
                                  <w:color w:val="E24C37"/>
                                  <w:spacing w:val="-4"/>
                                  <w:sz w:val="18"/>
                                </w:rPr>
                              </w:pPr>
                            </w:p>
                            <w:p w14:paraId="7A790AEE" w14:textId="77777777" w:rsidR="00FC5C38" w:rsidRDefault="00FC5C38" w:rsidP="00FC5C38">
                              <w:pPr>
                                <w:jc w:val="center"/>
                                <w:rPr>
                                  <w:rFonts w:ascii="Arial" w:hAnsi="Arial" w:cs="Arial"/>
                                  <w:color w:val="E24C37"/>
                                  <w:spacing w:val="-4"/>
                                  <w:sz w:val="18"/>
                                </w:rPr>
                              </w:pPr>
                            </w:p>
                            <w:p w14:paraId="10A53FB4" w14:textId="77777777" w:rsidR="00FC5C38" w:rsidRDefault="00FC5C38" w:rsidP="00FC5C38">
                              <w:pPr>
                                <w:jc w:val="center"/>
                                <w:rPr>
                                  <w:rFonts w:ascii="Arial" w:hAnsi="Arial" w:cs="Arial"/>
                                  <w:color w:val="000000"/>
                                  <w:spacing w:val="-4"/>
                                  <w:sz w:val="18"/>
                                </w:rPr>
                              </w:pPr>
                            </w:p>
                            <w:p w14:paraId="2E899DF4" w14:textId="77777777" w:rsidR="00FC5C38" w:rsidRDefault="00FC5C38" w:rsidP="00FC5C38">
                              <w:pPr>
                                <w:jc w:val="center"/>
                                <w:rPr>
                                  <w:rFonts w:ascii="Arial" w:hAnsi="Arial" w:cs="Arial"/>
                                  <w:color w:val="000000"/>
                                  <w:spacing w:val="-4"/>
                                  <w:sz w:val="18"/>
                                </w:rPr>
                              </w:pPr>
                            </w:p>
                            <w:p w14:paraId="707D7101" w14:textId="77777777" w:rsidR="00FC5C38" w:rsidRPr="00516FBD" w:rsidRDefault="00FC5C38" w:rsidP="00FC5C38">
                              <w:pPr>
                                <w:jc w:val="center"/>
                                <w:rPr>
                                  <w:rFonts w:ascii="Arial" w:hAnsi="Arial" w:cs="Arial"/>
                                  <w:color w:val="000000"/>
                                  <w:sz w:val="18"/>
                                </w:rPr>
                              </w:pPr>
                              <w:r w:rsidRPr="00516FBD">
                                <w:rPr>
                                  <w:rFonts w:ascii="Arial" w:hAnsi="Arial" w:cs="Arial"/>
                                  <w:color w:val="000000"/>
                                  <w:spacing w:val="-4"/>
                                  <w:sz w:val="18"/>
                                </w:rPr>
                                <w:t xml:space="preserve">Πηγή: </w:t>
                              </w:r>
                              <w:r>
                                <w:rPr>
                                  <w:rFonts w:ascii="Arial" w:hAnsi="Arial" w:cs="Arial"/>
                                  <w:color w:val="000000"/>
                                  <w:spacing w:val="-4"/>
                                  <w:sz w:val="18"/>
                                </w:rPr>
                                <w:t>ΕΛΣΤΑΤ,</w:t>
                              </w:r>
                              <w:r w:rsidRPr="00E41C79">
                                <w:rPr>
                                  <w:rFonts w:ascii="Arial" w:hAnsi="Arial" w:cs="Arial"/>
                                  <w:color w:val="000000"/>
                                  <w:spacing w:val="-4"/>
                                  <w:sz w:val="18"/>
                                </w:rPr>
                                <w:t xml:space="preserve"> </w:t>
                              </w:r>
                              <w:r>
                                <w:rPr>
                                  <w:rFonts w:ascii="Arial" w:hAnsi="Arial" w:cs="Arial"/>
                                  <w:color w:val="000000"/>
                                  <w:spacing w:val="-4"/>
                                  <w:sz w:val="18"/>
                                  <w:lang w:val="en-GB"/>
                                </w:rPr>
                                <w:t>IHS</w:t>
                              </w:r>
                              <w:r w:rsidRPr="00E41C79">
                                <w:rPr>
                                  <w:rFonts w:ascii="Arial" w:hAnsi="Arial" w:cs="Arial"/>
                                  <w:color w:val="000000"/>
                                  <w:spacing w:val="-4"/>
                                  <w:sz w:val="18"/>
                                </w:rPr>
                                <w:t xml:space="preserve"> </w:t>
                              </w:r>
                              <w:r>
                                <w:rPr>
                                  <w:rFonts w:ascii="Arial" w:hAnsi="Arial" w:cs="Arial"/>
                                  <w:color w:val="000000"/>
                                  <w:spacing w:val="-4"/>
                                  <w:sz w:val="18"/>
                                  <w:lang w:val="en-GB"/>
                                </w:rPr>
                                <w:t>Markit</w:t>
                              </w:r>
                              <w:r>
                                <w:rPr>
                                  <w:rFonts w:ascii="Arial" w:hAnsi="Arial" w:cs="Arial"/>
                                  <w:color w:val="000000"/>
                                  <w:spacing w:val="-4"/>
                                  <w:sz w:val="18"/>
                                </w:rPr>
                                <w:t xml:space="preserve"> </w:t>
                              </w:r>
                            </w:p>
                            <w:p w14:paraId="17652BA0" w14:textId="77777777" w:rsidR="00FC5C38" w:rsidRPr="00516FBD" w:rsidRDefault="00FC5C38" w:rsidP="00FC5C38">
                              <w:pPr>
                                <w:jc w:val="center"/>
                                <w:rPr>
                                  <w:rFonts w:ascii="Arial" w:hAnsi="Arial" w:cs="Arial"/>
                                  <w:color w:val="000000"/>
                                  <w:sz w:val="18"/>
                                </w:rPr>
                              </w:pPr>
                            </w:p>
                            <w:p w14:paraId="1F476122" w14:textId="77777777" w:rsidR="00FC5C38" w:rsidRPr="00270E65" w:rsidRDefault="00FC5C38" w:rsidP="00FC5C38">
                              <w:pPr>
                                <w:jc w:val="center"/>
                                <w:rPr>
                                  <w:rFonts w:ascii="Arial" w:hAnsi="Arial" w:cs="Arial"/>
                                  <w:color w:val="C00000"/>
                                  <w:sz w:val="18"/>
                                </w:rPr>
                              </w:pPr>
                            </w:p>
                          </w:txbxContent>
                        </wps:txbx>
                        <wps:bodyPr rot="0" vert="horz" wrap="square" lIns="91440" tIns="45720" rIns="91440" bIns="45720" anchor="t" anchorCtr="0" upright="1">
                          <a:noAutofit/>
                        </wps:bodyPr>
                      </wps:wsp>
                      <wps:wsp>
                        <wps:cNvPr id="29" name="Freeform 364"/>
                        <wps:cNvSpPr>
                          <a:spLocks/>
                        </wps:cNvSpPr>
                        <wps:spPr bwMode="auto">
                          <a:xfrm>
                            <a:off x="11159" y="0"/>
                            <a:ext cx="60650" cy="23086"/>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38A0B9D5" w14:textId="77777777" w:rsidR="00FC5C38" w:rsidRPr="00FC5C38" w:rsidRDefault="00FC5C38" w:rsidP="00FC5C38">
                              <w:pPr>
                                <w:pStyle w:val="a4"/>
                                <w:kinsoku w:val="0"/>
                                <w:overflowPunct w:val="0"/>
                                <w:rPr>
                                  <w:color w:val="0E3B70"/>
                                  <w:sz w:val="2"/>
                                  <w:szCs w:val="20"/>
                                  <w:lang w:val="el-GR"/>
                                </w:rPr>
                              </w:pPr>
                            </w:p>
                            <w:p w14:paraId="0905E22B" w14:textId="77777777" w:rsidR="00FC5C38" w:rsidRPr="00E7691F" w:rsidRDefault="00FC5C38" w:rsidP="00FC5C38">
                              <w:pPr>
                                <w:pStyle w:val="a4"/>
                                <w:kinsoku w:val="0"/>
                                <w:overflowPunct w:val="0"/>
                                <w:spacing w:line="200" w:lineRule="exact"/>
                                <w:rPr>
                                  <w:sz w:val="20"/>
                                  <w:lang w:val="el-GR"/>
                                </w:rPr>
                              </w:pPr>
                              <w:r>
                                <w:rPr>
                                  <w:color w:val="0E3B70"/>
                                  <w:sz w:val="20"/>
                                  <w:szCs w:val="20"/>
                                  <w:lang w:val="el-GR"/>
                                </w:rPr>
                                <w:t xml:space="preserve">Εξέλιξη Δείκτη Μεταποιητικής </w:t>
                              </w:r>
                              <w:r w:rsidRPr="0029663D">
                                <w:rPr>
                                  <w:color w:val="0E3B70"/>
                                  <w:sz w:val="20"/>
                                  <w:szCs w:val="20"/>
                                  <w:lang w:val="el-GR"/>
                                </w:rPr>
                                <w:t>Παρ</w:t>
                              </w:r>
                              <w:r>
                                <w:rPr>
                                  <w:color w:val="0E3B70"/>
                                  <w:sz w:val="20"/>
                                  <w:szCs w:val="20"/>
                                  <w:lang w:val="el-GR"/>
                                </w:rPr>
                                <w:t>αγωγής και Δείκτη Υπευθύνων για τις Προμήθειες</w:t>
                              </w:r>
                              <w:r w:rsidRPr="000C753C">
                                <w:rPr>
                                  <w:color w:val="0E3B70"/>
                                  <w:sz w:val="20"/>
                                  <w:szCs w:val="20"/>
                                  <w:lang w:val="el-GR"/>
                                </w:rPr>
                                <w:br/>
                              </w:r>
                              <w:r w:rsidRPr="009906A8">
                                <w:rPr>
                                  <w:noProof/>
                                  <w:sz w:val="20"/>
                                  <w:lang w:val="el-GR" w:eastAsia="el-GR"/>
                                </w:rPr>
                                <w:drawing>
                                  <wp:inline distT="0" distB="0" distL="0" distR="0" wp14:anchorId="0D19AC92" wp14:editId="2CFE16CF">
                                    <wp:extent cx="5947410" cy="47277"/>
                                    <wp:effectExtent l="0" t="0" r="0" b="0"/>
                                    <wp:docPr id="45" name="Εικόνα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41C25188" w14:textId="77777777" w:rsidR="00FC5C38" w:rsidRPr="005F4DC6" w:rsidRDefault="00FC5C38" w:rsidP="00FC5C38">
                              <w:pPr>
                                <w:tabs>
                                  <w:tab w:val="left" w:pos="2410"/>
                                </w:tabs>
                                <w:spacing w:line="240" w:lineRule="auto"/>
                                <w:rPr>
                                  <w:rFonts w:ascii="Arial" w:hAnsi="Arial" w:cs="Arial"/>
                                  <w:sz w:val="20"/>
                                </w:rPr>
                              </w:pPr>
                              <w:r w:rsidRPr="00C047BC">
                                <w:rPr>
                                  <w:noProof/>
                                  <w:lang w:eastAsia="el-GR"/>
                                </w:rPr>
                                <w:drawing>
                                  <wp:inline distT="0" distB="0" distL="0" distR="0" wp14:anchorId="2ABDDEC3" wp14:editId="5117B754">
                                    <wp:extent cx="5686425" cy="26860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81406B6" id="_x0000_s1038" style="position:absolute;left:0;text-align:left;margin-left:0;margin-top:5.4pt;width:566.9pt;height:238.1pt;z-index:-251640832;mso-position-horizontal-relative:margin;mso-height-relative:margin" coordsize="71809,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">
                <v:rect id="Rectangle 24" o:spid="_x0000_s1039" style="position:absolute;width:10090;height:2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" fillcolor="#e5e4de" stroked="f">
                  <v:textbox>
                    <w:txbxContent>
                      <w:p w14:paraId="5ED03F92" w14:textId="77777777" w:rsidR="00FC5C38" w:rsidRPr="00E41C79" w:rsidRDefault="00FC5C38" w:rsidP="00FC5C38">
                        <w:pPr>
                          <w:jc w:val="center"/>
                          <w:rPr>
                            <w:rFonts w:ascii="Arial" w:hAnsi="Arial" w:cs="Arial"/>
                            <w:color w:val="E24C37"/>
                            <w:spacing w:val="-4"/>
                            <w:sz w:val="18"/>
                          </w:rPr>
                        </w:pPr>
                        <w:r>
                          <w:rPr>
                            <w:rFonts w:ascii="Arial" w:hAnsi="Arial" w:cs="Arial"/>
                            <w:color w:val="E24C37"/>
                            <w:spacing w:val="-4"/>
                            <w:sz w:val="18"/>
                          </w:rPr>
                          <w:br/>
                        </w:r>
                        <w:r w:rsidRPr="000753F7">
                          <w:rPr>
                            <w:rFonts w:ascii="Arial" w:hAnsi="Arial" w:cs="Arial"/>
                            <w:color w:val="E24C37"/>
                            <w:spacing w:val="-4"/>
                            <w:sz w:val="18"/>
                          </w:rPr>
                          <w:t>ΓΡΑΦΗΜΑ</w:t>
                        </w:r>
                        <w:r>
                          <w:rPr>
                            <w:rFonts w:ascii="Arial" w:hAnsi="Arial" w:cs="Arial"/>
                            <w:color w:val="E24C37"/>
                            <w:spacing w:val="-4"/>
                            <w:sz w:val="18"/>
                          </w:rPr>
                          <w:t xml:space="preserve"> 5</w:t>
                        </w:r>
                      </w:p>
                      <w:p w14:paraId="7623B554" w14:textId="77777777" w:rsidR="00FC5C38" w:rsidRDefault="00FC5C38" w:rsidP="00FC5C38">
                        <w:pPr>
                          <w:jc w:val="center"/>
                          <w:rPr>
                            <w:rFonts w:ascii="Arial" w:hAnsi="Arial" w:cs="Arial"/>
                            <w:color w:val="E24C37"/>
                            <w:spacing w:val="-4"/>
                            <w:sz w:val="18"/>
                          </w:rPr>
                        </w:pPr>
                      </w:p>
                      <w:p w14:paraId="52F049EE" w14:textId="77777777" w:rsidR="00FC5C38" w:rsidRDefault="00FC5C38" w:rsidP="00FC5C38">
                        <w:pPr>
                          <w:jc w:val="center"/>
                          <w:rPr>
                            <w:rFonts w:ascii="Arial" w:hAnsi="Arial" w:cs="Arial"/>
                            <w:color w:val="E24C37"/>
                            <w:spacing w:val="-4"/>
                            <w:sz w:val="18"/>
                          </w:rPr>
                        </w:pPr>
                      </w:p>
                      <w:p w14:paraId="67511762" w14:textId="77777777" w:rsidR="00FC5C38" w:rsidRDefault="00FC5C38" w:rsidP="00FC5C38">
                        <w:pPr>
                          <w:jc w:val="center"/>
                          <w:rPr>
                            <w:rFonts w:ascii="Arial" w:hAnsi="Arial" w:cs="Arial"/>
                            <w:color w:val="E24C37"/>
                            <w:spacing w:val="-4"/>
                            <w:sz w:val="18"/>
                          </w:rPr>
                        </w:pPr>
                      </w:p>
                      <w:p w14:paraId="2CFB0855" w14:textId="77777777" w:rsidR="00FC5C38" w:rsidRDefault="00FC5C38" w:rsidP="00FC5C38">
                        <w:pPr>
                          <w:jc w:val="center"/>
                          <w:rPr>
                            <w:rFonts w:ascii="Arial" w:hAnsi="Arial" w:cs="Arial"/>
                            <w:color w:val="E24C37"/>
                            <w:spacing w:val="-4"/>
                            <w:sz w:val="18"/>
                          </w:rPr>
                        </w:pPr>
                      </w:p>
                      <w:p w14:paraId="357B76C7" w14:textId="77777777" w:rsidR="00FC5C38" w:rsidRDefault="00FC5C38" w:rsidP="00FC5C38">
                        <w:pPr>
                          <w:jc w:val="center"/>
                          <w:rPr>
                            <w:rFonts w:ascii="Arial" w:hAnsi="Arial" w:cs="Arial"/>
                            <w:color w:val="E24C37"/>
                            <w:spacing w:val="-4"/>
                            <w:sz w:val="18"/>
                          </w:rPr>
                        </w:pPr>
                      </w:p>
                      <w:p w14:paraId="5C887839" w14:textId="77777777" w:rsidR="00FC5C38" w:rsidRDefault="00FC5C38" w:rsidP="00FC5C38">
                        <w:pPr>
                          <w:jc w:val="center"/>
                          <w:rPr>
                            <w:rFonts w:ascii="Arial" w:hAnsi="Arial" w:cs="Arial"/>
                            <w:color w:val="E24C37"/>
                            <w:spacing w:val="-4"/>
                            <w:sz w:val="18"/>
                          </w:rPr>
                        </w:pPr>
                      </w:p>
                      <w:p w14:paraId="7A790AEE" w14:textId="77777777" w:rsidR="00FC5C38" w:rsidRDefault="00FC5C38" w:rsidP="00FC5C38">
                        <w:pPr>
                          <w:jc w:val="center"/>
                          <w:rPr>
                            <w:rFonts w:ascii="Arial" w:hAnsi="Arial" w:cs="Arial"/>
                            <w:color w:val="E24C37"/>
                            <w:spacing w:val="-4"/>
                            <w:sz w:val="18"/>
                          </w:rPr>
                        </w:pPr>
                      </w:p>
                      <w:p w14:paraId="10A53FB4" w14:textId="77777777" w:rsidR="00FC5C38" w:rsidRDefault="00FC5C38" w:rsidP="00FC5C38">
                        <w:pPr>
                          <w:jc w:val="center"/>
                          <w:rPr>
                            <w:rFonts w:ascii="Arial" w:hAnsi="Arial" w:cs="Arial"/>
                            <w:color w:val="000000"/>
                            <w:spacing w:val="-4"/>
                            <w:sz w:val="18"/>
                          </w:rPr>
                        </w:pPr>
                      </w:p>
                      <w:p w14:paraId="2E899DF4" w14:textId="77777777" w:rsidR="00FC5C38" w:rsidRDefault="00FC5C38" w:rsidP="00FC5C38">
                        <w:pPr>
                          <w:jc w:val="center"/>
                          <w:rPr>
                            <w:rFonts w:ascii="Arial" w:hAnsi="Arial" w:cs="Arial"/>
                            <w:color w:val="000000"/>
                            <w:spacing w:val="-4"/>
                            <w:sz w:val="18"/>
                          </w:rPr>
                        </w:pPr>
                      </w:p>
                      <w:p w14:paraId="707D7101" w14:textId="77777777" w:rsidR="00FC5C38" w:rsidRPr="00516FBD" w:rsidRDefault="00FC5C38" w:rsidP="00FC5C38">
                        <w:pPr>
                          <w:jc w:val="center"/>
                          <w:rPr>
                            <w:rFonts w:ascii="Arial" w:hAnsi="Arial" w:cs="Arial"/>
                            <w:color w:val="000000"/>
                            <w:sz w:val="18"/>
                          </w:rPr>
                        </w:pPr>
                        <w:r w:rsidRPr="00516FBD">
                          <w:rPr>
                            <w:rFonts w:ascii="Arial" w:hAnsi="Arial" w:cs="Arial"/>
                            <w:color w:val="000000"/>
                            <w:spacing w:val="-4"/>
                            <w:sz w:val="18"/>
                          </w:rPr>
                          <w:t xml:space="preserve">Πηγή: </w:t>
                        </w:r>
                        <w:r>
                          <w:rPr>
                            <w:rFonts w:ascii="Arial" w:hAnsi="Arial" w:cs="Arial"/>
                            <w:color w:val="000000"/>
                            <w:spacing w:val="-4"/>
                            <w:sz w:val="18"/>
                          </w:rPr>
                          <w:t>ΕΛΣΤΑΤ,</w:t>
                        </w:r>
                        <w:r w:rsidRPr="00E41C79">
                          <w:rPr>
                            <w:rFonts w:ascii="Arial" w:hAnsi="Arial" w:cs="Arial"/>
                            <w:color w:val="000000"/>
                            <w:spacing w:val="-4"/>
                            <w:sz w:val="18"/>
                          </w:rPr>
                          <w:t xml:space="preserve"> </w:t>
                        </w:r>
                        <w:r>
                          <w:rPr>
                            <w:rFonts w:ascii="Arial" w:hAnsi="Arial" w:cs="Arial"/>
                            <w:color w:val="000000"/>
                            <w:spacing w:val="-4"/>
                            <w:sz w:val="18"/>
                            <w:lang w:val="en-GB"/>
                          </w:rPr>
                          <w:t>IHS</w:t>
                        </w:r>
                        <w:r w:rsidRPr="00E41C79">
                          <w:rPr>
                            <w:rFonts w:ascii="Arial" w:hAnsi="Arial" w:cs="Arial"/>
                            <w:color w:val="000000"/>
                            <w:spacing w:val="-4"/>
                            <w:sz w:val="18"/>
                          </w:rPr>
                          <w:t xml:space="preserve"> </w:t>
                        </w:r>
                        <w:r>
                          <w:rPr>
                            <w:rFonts w:ascii="Arial" w:hAnsi="Arial" w:cs="Arial"/>
                            <w:color w:val="000000"/>
                            <w:spacing w:val="-4"/>
                            <w:sz w:val="18"/>
                            <w:lang w:val="en-GB"/>
                          </w:rPr>
                          <w:t>Markit</w:t>
                        </w:r>
                        <w:r>
                          <w:rPr>
                            <w:rFonts w:ascii="Arial" w:hAnsi="Arial" w:cs="Arial"/>
                            <w:color w:val="000000"/>
                            <w:spacing w:val="-4"/>
                            <w:sz w:val="18"/>
                          </w:rPr>
                          <w:t xml:space="preserve"> </w:t>
                        </w:r>
                      </w:p>
                      <w:p w14:paraId="17652BA0" w14:textId="77777777" w:rsidR="00FC5C38" w:rsidRPr="00516FBD" w:rsidRDefault="00FC5C38" w:rsidP="00FC5C38">
                        <w:pPr>
                          <w:jc w:val="center"/>
                          <w:rPr>
                            <w:rFonts w:ascii="Arial" w:hAnsi="Arial" w:cs="Arial"/>
                            <w:color w:val="000000"/>
                            <w:sz w:val="18"/>
                          </w:rPr>
                        </w:pPr>
                      </w:p>
                      <w:p w14:paraId="1F476122" w14:textId="77777777" w:rsidR="00FC5C38" w:rsidRPr="00270E65" w:rsidRDefault="00FC5C38" w:rsidP="00FC5C38">
                        <w:pPr>
                          <w:jc w:val="center"/>
                          <w:rPr>
                            <w:rFonts w:ascii="Arial" w:hAnsi="Arial" w:cs="Arial"/>
                            <w:color w:val="C00000"/>
                            <w:sz w:val="18"/>
                          </w:rPr>
                        </w:pPr>
                      </w:p>
                    </w:txbxContent>
                  </v:textbox>
                </v:rect>
                <v:shape id="Freeform 364" o:spid="_x0000_s1040" style="position:absolute;left:11159;width:60650;height:23086;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" adj="-11796480,,5400" path="m9585,l,,,4123r9585,l9585,xe" fillcolor="#e5e4de" stroked="f">
                  <v:stroke joinstyle="miter"/>
                  <v:formulas/>
                  <v:path arrowok="t" o:connecttype="custom" o:connectlocs="38508732,0;0,0;0,14712919;38508732,14712919;38508732,0" o:connectangles="0,0,0,0,0" textboxrect="0,0,9586,4124"/>
                  <v:textbox>
                    <w:txbxContent>
                      <w:p w14:paraId="38A0B9D5" w14:textId="77777777" w:rsidR="00FC5C38" w:rsidRPr="00FC5C38" w:rsidRDefault="00FC5C38" w:rsidP="00FC5C38">
                        <w:pPr>
                          <w:pStyle w:val="BodyText"/>
                          <w:kinsoku w:val="0"/>
                          <w:overflowPunct w:val="0"/>
                          <w:rPr>
                            <w:color w:val="0E3B70"/>
                            <w:sz w:val="2"/>
                            <w:szCs w:val="20"/>
                            <w:lang w:val="el-GR"/>
                          </w:rPr>
                        </w:pPr>
                      </w:p>
                      <w:p w14:paraId="0905E22B" w14:textId="77777777" w:rsidR="00FC5C38" w:rsidRPr="00E7691F" w:rsidRDefault="00FC5C38" w:rsidP="00FC5C38">
                        <w:pPr>
                          <w:pStyle w:val="BodyText"/>
                          <w:kinsoku w:val="0"/>
                          <w:overflowPunct w:val="0"/>
                          <w:spacing w:line="200" w:lineRule="exact"/>
                          <w:rPr>
                            <w:sz w:val="20"/>
                            <w:lang w:val="el-GR"/>
                          </w:rPr>
                        </w:pPr>
                        <w:r>
                          <w:rPr>
                            <w:color w:val="0E3B70"/>
                            <w:sz w:val="20"/>
                            <w:szCs w:val="20"/>
                            <w:lang w:val="el-GR"/>
                          </w:rPr>
                          <w:t xml:space="preserve">Εξέλιξη Δείκτη Μεταποιητικής </w:t>
                        </w:r>
                        <w:r w:rsidRPr="0029663D">
                          <w:rPr>
                            <w:color w:val="0E3B70"/>
                            <w:sz w:val="20"/>
                            <w:szCs w:val="20"/>
                            <w:lang w:val="el-GR"/>
                          </w:rPr>
                          <w:t>Παρ</w:t>
                        </w:r>
                        <w:r>
                          <w:rPr>
                            <w:color w:val="0E3B70"/>
                            <w:sz w:val="20"/>
                            <w:szCs w:val="20"/>
                            <w:lang w:val="el-GR"/>
                          </w:rPr>
                          <w:t>αγωγής και Δείκτη Υπευθύνων για τις Προμήθειες</w:t>
                        </w:r>
                        <w:r w:rsidRPr="000C753C">
                          <w:rPr>
                            <w:color w:val="0E3B70"/>
                            <w:sz w:val="20"/>
                            <w:szCs w:val="20"/>
                            <w:lang w:val="el-GR"/>
                          </w:rPr>
                          <w:br/>
                        </w:r>
                        <w:r w:rsidRPr="009906A8">
                          <w:rPr>
                            <w:noProof/>
                            <w:sz w:val="20"/>
                            <w:lang w:val="el-GR" w:eastAsia="el-GR"/>
                          </w:rPr>
                          <w:drawing>
                            <wp:inline distT="0" distB="0" distL="0" distR="0" wp14:anchorId="0D19AC92" wp14:editId="2CFE16CF">
                              <wp:extent cx="5947410" cy="47277"/>
                              <wp:effectExtent l="0" t="0" r="0" b="0"/>
                              <wp:docPr id="45" name="Εικόνα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41C25188" w14:textId="77777777" w:rsidR="00FC5C38" w:rsidRPr="005F4DC6" w:rsidRDefault="00FC5C38" w:rsidP="00FC5C38">
                        <w:pPr>
                          <w:tabs>
                            <w:tab w:val="left" w:pos="2410"/>
                          </w:tabs>
                          <w:spacing w:line="240" w:lineRule="auto"/>
                          <w:rPr>
                            <w:rFonts w:ascii="Arial" w:hAnsi="Arial" w:cs="Arial"/>
                            <w:sz w:val="20"/>
                          </w:rPr>
                        </w:pPr>
                        <w:r w:rsidRPr="00C047BC">
                          <w:rPr>
                            <w:noProof/>
                            <w:lang w:eastAsia="el-GR"/>
                          </w:rPr>
                          <w:drawing>
                            <wp:inline distT="0" distB="0" distL="0" distR="0" wp14:anchorId="2ABDDEC3" wp14:editId="5117B754">
                              <wp:extent cx="5686425" cy="26860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txbxContent>
                  </v:textbox>
                </v:shape>
                <w10:wrap anchorx="margin"/>
              </v:group>
            </w:pict>
          </mc:Fallback>
        </mc:AlternateContent>
      </w:r>
    </w:p>
    <w:p w14:paraId="6958DB0F" w14:textId="2525019B" w:rsidR="00FC5C38" w:rsidRDefault="00FC5C38" w:rsidP="00FC5C38">
      <w:pPr>
        <w:spacing w:after="0" w:line="240" w:lineRule="auto"/>
        <w:ind w:left="1761" w:right="227"/>
        <w:jc w:val="both"/>
        <w:rPr>
          <w:rFonts w:ascii="Arial" w:eastAsia="Arial" w:hAnsi="Arial" w:cs="Arial"/>
          <w:color w:val="000000" w:themeColor="text1"/>
          <w:sz w:val="20"/>
          <w:szCs w:val="19"/>
        </w:rPr>
      </w:pPr>
    </w:p>
    <w:p w14:paraId="10D8CDD5" w14:textId="77777777" w:rsidR="00FC5C38" w:rsidRDefault="00FC5C38" w:rsidP="00FC5C38">
      <w:pPr>
        <w:spacing w:after="0" w:line="240" w:lineRule="auto"/>
        <w:ind w:left="1761" w:right="227"/>
        <w:jc w:val="both"/>
        <w:rPr>
          <w:rFonts w:ascii="Arial" w:eastAsia="Arial" w:hAnsi="Arial" w:cs="Arial"/>
          <w:color w:val="000000" w:themeColor="text1"/>
          <w:sz w:val="20"/>
          <w:szCs w:val="19"/>
        </w:rPr>
      </w:pPr>
    </w:p>
    <w:p w14:paraId="685D0FC3" w14:textId="77777777" w:rsidR="00FC5C38" w:rsidRDefault="00FC5C38" w:rsidP="00FC5C38">
      <w:pPr>
        <w:spacing w:after="0" w:line="240" w:lineRule="auto"/>
        <w:ind w:left="1761" w:right="227"/>
        <w:jc w:val="both"/>
        <w:rPr>
          <w:rFonts w:ascii="Arial" w:eastAsia="Arial" w:hAnsi="Arial" w:cs="Arial"/>
          <w:color w:val="000000" w:themeColor="text1"/>
          <w:sz w:val="20"/>
          <w:szCs w:val="19"/>
        </w:rPr>
      </w:pPr>
    </w:p>
    <w:p w14:paraId="55328C32" w14:textId="77777777" w:rsidR="00FC5C38" w:rsidRPr="00BB0661" w:rsidRDefault="00FC5C38" w:rsidP="00FC5C38">
      <w:pPr>
        <w:spacing w:after="0" w:line="240" w:lineRule="auto"/>
        <w:ind w:left="1761" w:right="227"/>
        <w:jc w:val="both"/>
        <w:rPr>
          <w:rFonts w:ascii="Arial" w:eastAsia="Arial" w:hAnsi="Arial" w:cs="Arial"/>
          <w:color w:val="000000" w:themeColor="text1"/>
          <w:sz w:val="20"/>
          <w:szCs w:val="19"/>
        </w:rPr>
      </w:pPr>
    </w:p>
    <w:p w14:paraId="0F394AA2" w14:textId="77777777" w:rsidR="00FC5C38" w:rsidRPr="00B06385" w:rsidRDefault="00FC5C38" w:rsidP="00FC5C38">
      <w:pPr>
        <w:spacing w:after="0" w:line="240" w:lineRule="auto"/>
        <w:ind w:left="1761" w:right="227"/>
        <w:jc w:val="both"/>
        <w:rPr>
          <w:rFonts w:ascii="Arial" w:eastAsia="Arial" w:hAnsi="Arial" w:cs="Arial"/>
          <w:color w:val="000000" w:themeColor="text1"/>
          <w:sz w:val="20"/>
          <w:szCs w:val="19"/>
        </w:rPr>
      </w:pPr>
    </w:p>
    <w:p w14:paraId="23F0F4FB" w14:textId="77777777" w:rsidR="00FC5C38" w:rsidRPr="0014185D" w:rsidRDefault="00FC5C38" w:rsidP="00FC5C38">
      <w:pPr>
        <w:pStyle w:val="a4"/>
        <w:kinsoku w:val="0"/>
        <w:overflowPunct w:val="0"/>
        <w:spacing w:before="69"/>
        <w:ind w:right="170"/>
        <w:jc w:val="both"/>
        <w:rPr>
          <w:noProof/>
          <w:lang w:val="el-GR" w:eastAsia="el-GR"/>
        </w:rPr>
      </w:pPr>
    </w:p>
    <w:p w14:paraId="6DF309A3" w14:textId="77777777" w:rsidR="00FC5C38" w:rsidRDefault="00FC5C38" w:rsidP="00FC5C38">
      <w:pPr>
        <w:pStyle w:val="a4"/>
        <w:kinsoku w:val="0"/>
        <w:overflowPunct w:val="0"/>
        <w:spacing w:before="69"/>
        <w:ind w:right="170"/>
        <w:jc w:val="both"/>
        <w:rPr>
          <w:lang w:val="el-GR"/>
        </w:rPr>
      </w:pPr>
    </w:p>
    <w:p w14:paraId="1FC5A4DC" w14:textId="77777777" w:rsidR="00FC5C38" w:rsidRDefault="00FC5C38" w:rsidP="00FC5C38">
      <w:pPr>
        <w:pStyle w:val="a4"/>
        <w:ind w:left="1758" w:right="227"/>
        <w:jc w:val="both"/>
        <w:rPr>
          <w:lang w:val="el-GR"/>
        </w:rPr>
      </w:pPr>
    </w:p>
    <w:p w14:paraId="7C523C19" w14:textId="77777777" w:rsidR="00FC5C38" w:rsidRDefault="00FC5C38" w:rsidP="00FC5C38">
      <w:pPr>
        <w:rPr>
          <w:rFonts w:ascii="Arial" w:eastAsia="Arial" w:hAnsi="Arial" w:cs="Arial"/>
          <w:color w:val="231F20"/>
          <w:sz w:val="20"/>
          <w:szCs w:val="20"/>
        </w:rPr>
      </w:pPr>
      <w:r>
        <w:rPr>
          <w:rFonts w:ascii="Arial" w:eastAsia="Arial" w:hAnsi="Arial" w:cs="Arial"/>
          <w:color w:val="231F20"/>
          <w:sz w:val="20"/>
          <w:szCs w:val="20"/>
        </w:rPr>
        <w:br w:type="page"/>
      </w:r>
    </w:p>
    <w:p w14:paraId="0068EFF0" w14:textId="08DFAF50" w:rsidR="006D776F" w:rsidRDefault="00434FDE" w:rsidP="006D776F">
      <w:pPr>
        <w:pStyle w:val="a4"/>
        <w:kinsoku w:val="0"/>
        <w:overflowPunct w:val="0"/>
        <w:ind w:left="1780" w:right="170"/>
        <w:jc w:val="both"/>
        <w:rPr>
          <w:sz w:val="20"/>
          <w:szCs w:val="20"/>
          <w:lang w:val="el-GR"/>
        </w:rPr>
      </w:pPr>
      <w:r>
        <w:rPr>
          <w:sz w:val="20"/>
          <w:szCs w:val="20"/>
          <w:lang w:val="el-GR"/>
        </w:rPr>
        <w:lastRenderedPageBreak/>
        <w:t>των ηλεκτρονικών υπολογιστών, ηλεκτρονικών και οπτικών προϊόντων (+10,1</w:t>
      </w:r>
      <w:r w:rsidRPr="005C7DEE">
        <w:rPr>
          <w:sz w:val="20"/>
          <w:szCs w:val="20"/>
          <w:lang w:val="el-GR"/>
        </w:rPr>
        <w:t>%)</w:t>
      </w:r>
      <w:r>
        <w:rPr>
          <w:sz w:val="20"/>
          <w:szCs w:val="20"/>
          <w:lang w:val="el-GR"/>
        </w:rPr>
        <w:t>,</w:t>
      </w:r>
      <w:r w:rsidRPr="001A2ED6">
        <w:rPr>
          <w:sz w:val="20"/>
          <w:szCs w:val="20"/>
          <w:lang w:val="el-GR"/>
        </w:rPr>
        <w:t xml:space="preserve"> </w:t>
      </w:r>
      <w:r w:rsidRPr="0017049B">
        <w:rPr>
          <w:sz w:val="20"/>
          <w:szCs w:val="20"/>
          <w:lang w:val="el-GR"/>
        </w:rPr>
        <w:t>των</w:t>
      </w:r>
      <w:r>
        <w:rPr>
          <w:sz w:val="20"/>
          <w:szCs w:val="20"/>
          <w:lang w:val="el-GR"/>
        </w:rPr>
        <w:t xml:space="preserve"> φαρμακευτικ</w:t>
      </w:r>
      <w:r w:rsidRPr="0017049B">
        <w:rPr>
          <w:sz w:val="20"/>
          <w:szCs w:val="20"/>
          <w:lang w:val="el-GR"/>
        </w:rPr>
        <w:t>ών</w:t>
      </w:r>
      <w:r>
        <w:rPr>
          <w:sz w:val="20"/>
          <w:szCs w:val="20"/>
          <w:lang w:val="el-GR"/>
        </w:rPr>
        <w:t xml:space="preserve"> </w:t>
      </w:r>
      <w:r w:rsidR="006D776F">
        <w:rPr>
          <w:sz w:val="20"/>
          <w:szCs w:val="20"/>
          <w:lang w:val="el-GR"/>
        </w:rPr>
        <w:t>προϊόντ</w:t>
      </w:r>
      <w:r w:rsidR="006D776F" w:rsidRPr="0017049B">
        <w:rPr>
          <w:sz w:val="20"/>
          <w:szCs w:val="20"/>
          <w:lang w:val="el-GR"/>
        </w:rPr>
        <w:t>ων</w:t>
      </w:r>
      <w:r w:rsidR="006D776F">
        <w:rPr>
          <w:sz w:val="20"/>
          <w:szCs w:val="20"/>
          <w:lang w:val="el-GR"/>
        </w:rPr>
        <w:t xml:space="preserve"> (+9,4%), των μη μεταλλικών ορυκτών (+8,7</w:t>
      </w:r>
      <w:r w:rsidR="006D776F" w:rsidRPr="005C7DEE">
        <w:rPr>
          <w:sz w:val="20"/>
          <w:szCs w:val="20"/>
          <w:lang w:val="el-GR"/>
        </w:rPr>
        <w:t>%),</w:t>
      </w:r>
      <w:r w:rsidR="006D776F" w:rsidRPr="001A2ED6">
        <w:rPr>
          <w:sz w:val="20"/>
          <w:szCs w:val="20"/>
          <w:lang w:val="el-GR"/>
        </w:rPr>
        <w:t xml:space="preserve"> </w:t>
      </w:r>
      <w:r w:rsidR="006D776F">
        <w:rPr>
          <w:sz w:val="20"/>
          <w:szCs w:val="20"/>
          <w:lang w:val="el-GR"/>
        </w:rPr>
        <w:t>τ</w:t>
      </w:r>
      <w:r w:rsidR="006D776F" w:rsidRPr="0017049B">
        <w:rPr>
          <w:sz w:val="20"/>
          <w:szCs w:val="20"/>
          <w:lang w:val="el-GR"/>
        </w:rPr>
        <w:t>ων</w:t>
      </w:r>
      <w:r w:rsidR="006D776F">
        <w:rPr>
          <w:sz w:val="20"/>
          <w:szCs w:val="20"/>
          <w:lang w:val="el-GR"/>
        </w:rPr>
        <w:t xml:space="preserve"> μεταλλικ</w:t>
      </w:r>
      <w:r w:rsidR="006D776F" w:rsidRPr="0017049B">
        <w:rPr>
          <w:sz w:val="20"/>
          <w:szCs w:val="20"/>
          <w:lang w:val="el-GR"/>
        </w:rPr>
        <w:t>ών</w:t>
      </w:r>
      <w:r w:rsidR="006D776F">
        <w:rPr>
          <w:sz w:val="20"/>
          <w:szCs w:val="20"/>
          <w:lang w:val="el-GR"/>
        </w:rPr>
        <w:t xml:space="preserve"> προϊόντ</w:t>
      </w:r>
      <w:r w:rsidR="006D776F" w:rsidRPr="0017049B">
        <w:rPr>
          <w:sz w:val="20"/>
          <w:szCs w:val="20"/>
          <w:lang w:val="el-GR"/>
        </w:rPr>
        <w:t>ων</w:t>
      </w:r>
      <w:r w:rsidR="006D776F">
        <w:rPr>
          <w:sz w:val="20"/>
          <w:szCs w:val="20"/>
          <w:lang w:val="el-GR"/>
        </w:rPr>
        <w:t xml:space="preserve"> (+8,4%),</w:t>
      </w:r>
      <w:r w:rsidR="006D776F" w:rsidRPr="005C7DEE">
        <w:rPr>
          <w:sz w:val="20"/>
          <w:szCs w:val="20"/>
          <w:lang w:val="el-GR"/>
        </w:rPr>
        <w:t xml:space="preserve"> των πλαστικών</w:t>
      </w:r>
      <w:r w:rsidR="006D776F">
        <w:rPr>
          <w:sz w:val="20"/>
          <w:szCs w:val="20"/>
          <w:lang w:val="el-GR"/>
        </w:rPr>
        <w:t xml:space="preserve"> </w:t>
      </w:r>
      <w:r w:rsidR="006D776F" w:rsidRPr="005C7DEE">
        <w:rPr>
          <w:sz w:val="20"/>
          <w:szCs w:val="20"/>
          <w:lang w:val="el-GR"/>
        </w:rPr>
        <w:t xml:space="preserve">υλών </w:t>
      </w:r>
      <w:r w:rsidR="006D776F">
        <w:rPr>
          <w:sz w:val="20"/>
          <w:szCs w:val="20"/>
          <w:lang w:val="el-GR"/>
        </w:rPr>
        <w:t>και προϊόντων από ελαστικό (+5,9%), των μηχανημάτων (+4,9</w:t>
      </w:r>
      <w:r w:rsidR="006D776F" w:rsidRPr="005C7DEE">
        <w:rPr>
          <w:sz w:val="20"/>
          <w:szCs w:val="20"/>
          <w:lang w:val="el-GR"/>
        </w:rPr>
        <w:t>%</w:t>
      </w:r>
      <w:r w:rsidR="006D776F">
        <w:rPr>
          <w:sz w:val="20"/>
          <w:szCs w:val="20"/>
          <w:lang w:val="el-GR"/>
        </w:rPr>
        <w:t>), των βασικών μετάλλων (+4,3%), της ποτοποιίας (+2,9%) και των παραγώγων πετρελαίου (+0,4%). Α</w:t>
      </w:r>
      <w:r w:rsidR="006D776F" w:rsidRPr="005C7DEE">
        <w:rPr>
          <w:sz w:val="20"/>
          <w:szCs w:val="20"/>
          <w:lang w:val="el-GR"/>
        </w:rPr>
        <w:t xml:space="preserve">ντίθετα, </w:t>
      </w:r>
      <w:r w:rsidR="006D776F">
        <w:rPr>
          <w:sz w:val="20"/>
          <w:szCs w:val="20"/>
          <w:lang w:val="el-GR"/>
        </w:rPr>
        <w:t xml:space="preserve">μείωση </w:t>
      </w:r>
      <w:r w:rsidR="006D776F" w:rsidRPr="005C7DEE">
        <w:rPr>
          <w:sz w:val="20"/>
          <w:szCs w:val="20"/>
          <w:lang w:val="el-GR"/>
        </w:rPr>
        <w:t xml:space="preserve">της παραγωγής τους παρουσίασαν </w:t>
      </w:r>
      <w:r w:rsidR="006D776F" w:rsidRPr="0017049B">
        <w:rPr>
          <w:sz w:val="20"/>
          <w:szCs w:val="20"/>
          <w:lang w:val="el-GR"/>
        </w:rPr>
        <w:t xml:space="preserve">οι </w:t>
      </w:r>
      <w:r w:rsidR="006D776F" w:rsidRPr="005C7DEE">
        <w:rPr>
          <w:sz w:val="20"/>
          <w:szCs w:val="20"/>
          <w:lang w:val="el-GR"/>
        </w:rPr>
        <w:t>κλάδοι</w:t>
      </w:r>
      <w:r w:rsidR="006D776F" w:rsidRPr="0017049B">
        <w:rPr>
          <w:sz w:val="20"/>
          <w:szCs w:val="20"/>
          <w:lang w:val="el-GR"/>
        </w:rPr>
        <w:t xml:space="preserve"> </w:t>
      </w:r>
      <w:r w:rsidR="006D776F" w:rsidRPr="005C7DEE">
        <w:rPr>
          <w:sz w:val="20"/>
          <w:szCs w:val="20"/>
          <w:lang w:val="el-GR"/>
        </w:rPr>
        <w:t>των δε</w:t>
      </w:r>
      <w:r w:rsidR="006D776F">
        <w:rPr>
          <w:sz w:val="20"/>
          <w:szCs w:val="20"/>
          <w:lang w:val="el-GR"/>
        </w:rPr>
        <w:t xml:space="preserve">ρμάτων και δερμάτινων ειδών (-39,9%), της ένδυσης (-9,5%), </w:t>
      </w:r>
      <w:r w:rsidR="006D776F" w:rsidRPr="005C7DEE">
        <w:rPr>
          <w:sz w:val="20"/>
          <w:szCs w:val="20"/>
          <w:lang w:val="el-GR"/>
        </w:rPr>
        <w:t>της επισκευής και εγκατάστασης μηχανημάτων και</w:t>
      </w:r>
      <w:r w:rsidR="006D776F" w:rsidRPr="009B79D1">
        <w:rPr>
          <w:sz w:val="20"/>
          <w:szCs w:val="20"/>
          <w:lang w:val="el-GR"/>
        </w:rPr>
        <w:t xml:space="preserve"> </w:t>
      </w:r>
      <w:r w:rsidR="006D776F">
        <w:rPr>
          <w:sz w:val="20"/>
          <w:szCs w:val="20"/>
          <w:lang w:val="el-GR"/>
        </w:rPr>
        <w:t>εξοπλισμού (-6,6%),</w:t>
      </w:r>
      <w:r w:rsidR="006D776F" w:rsidRPr="009B458C">
        <w:rPr>
          <w:sz w:val="20"/>
          <w:szCs w:val="20"/>
          <w:lang w:val="el-GR"/>
        </w:rPr>
        <w:t xml:space="preserve"> </w:t>
      </w:r>
      <w:r w:rsidR="006D776F">
        <w:rPr>
          <w:sz w:val="20"/>
          <w:szCs w:val="20"/>
          <w:lang w:val="el-GR"/>
        </w:rPr>
        <w:t xml:space="preserve">της </w:t>
      </w:r>
      <w:r w:rsidR="006D776F" w:rsidRPr="005C7DEE">
        <w:rPr>
          <w:sz w:val="20"/>
          <w:szCs w:val="20"/>
          <w:lang w:val="el-GR"/>
        </w:rPr>
        <w:t>χαρτοποιία</w:t>
      </w:r>
      <w:r w:rsidR="006D776F" w:rsidRPr="0017049B">
        <w:rPr>
          <w:sz w:val="20"/>
          <w:szCs w:val="20"/>
          <w:lang w:val="el-GR"/>
        </w:rPr>
        <w:t>ς</w:t>
      </w:r>
      <w:r w:rsidR="006D776F">
        <w:rPr>
          <w:sz w:val="20"/>
          <w:szCs w:val="20"/>
          <w:lang w:val="el-GR"/>
        </w:rPr>
        <w:t xml:space="preserve"> (-3</w:t>
      </w:r>
      <w:r w:rsidR="006D776F" w:rsidRPr="005C7DEE">
        <w:rPr>
          <w:sz w:val="20"/>
          <w:szCs w:val="20"/>
          <w:lang w:val="el-GR"/>
        </w:rPr>
        <w:t>%)</w:t>
      </w:r>
      <w:r w:rsidR="006D776F">
        <w:rPr>
          <w:sz w:val="20"/>
          <w:szCs w:val="20"/>
          <w:lang w:val="el-GR"/>
        </w:rPr>
        <w:t xml:space="preserve">, </w:t>
      </w:r>
      <w:r w:rsidR="006D776F" w:rsidRPr="0017049B">
        <w:rPr>
          <w:sz w:val="20"/>
          <w:szCs w:val="20"/>
          <w:lang w:val="el-GR"/>
        </w:rPr>
        <w:t xml:space="preserve">των </w:t>
      </w:r>
      <w:r w:rsidR="006D776F">
        <w:rPr>
          <w:sz w:val="20"/>
          <w:szCs w:val="20"/>
          <w:lang w:val="el-GR"/>
        </w:rPr>
        <w:t>τροφίμων (-2%) και τ</w:t>
      </w:r>
      <w:r w:rsidR="006D776F" w:rsidRPr="0017049B">
        <w:rPr>
          <w:sz w:val="20"/>
          <w:szCs w:val="20"/>
          <w:lang w:val="el-GR"/>
        </w:rPr>
        <w:t>ων</w:t>
      </w:r>
      <w:r w:rsidR="006D776F" w:rsidRPr="005C7DEE">
        <w:rPr>
          <w:sz w:val="20"/>
          <w:szCs w:val="20"/>
          <w:lang w:val="el-GR"/>
        </w:rPr>
        <w:t xml:space="preserve"> </w:t>
      </w:r>
      <w:r w:rsidR="006D776F">
        <w:rPr>
          <w:sz w:val="20"/>
          <w:szCs w:val="20"/>
          <w:lang w:val="el-GR"/>
        </w:rPr>
        <w:t>χημικ</w:t>
      </w:r>
      <w:r w:rsidR="006D776F" w:rsidRPr="0017049B">
        <w:rPr>
          <w:sz w:val="20"/>
          <w:szCs w:val="20"/>
          <w:lang w:val="el-GR"/>
        </w:rPr>
        <w:t>ών</w:t>
      </w:r>
      <w:r w:rsidR="006D776F">
        <w:rPr>
          <w:sz w:val="20"/>
          <w:szCs w:val="20"/>
          <w:lang w:val="el-GR"/>
        </w:rPr>
        <w:t xml:space="preserve"> προϊόντ</w:t>
      </w:r>
      <w:r w:rsidR="006D776F" w:rsidRPr="0017049B">
        <w:rPr>
          <w:sz w:val="20"/>
          <w:szCs w:val="20"/>
          <w:lang w:val="el-GR"/>
        </w:rPr>
        <w:t>ων</w:t>
      </w:r>
      <w:r w:rsidR="006D776F">
        <w:rPr>
          <w:sz w:val="20"/>
          <w:szCs w:val="20"/>
          <w:lang w:val="el-GR"/>
        </w:rPr>
        <w:t xml:space="preserve"> (-0,3</w:t>
      </w:r>
      <w:r w:rsidR="006D776F" w:rsidRPr="005C7DEE">
        <w:rPr>
          <w:sz w:val="20"/>
          <w:szCs w:val="20"/>
          <w:lang w:val="el-GR"/>
        </w:rPr>
        <w:t>%)</w:t>
      </w:r>
      <w:r w:rsidR="006D776F">
        <w:rPr>
          <w:sz w:val="20"/>
          <w:szCs w:val="20"/>
          <w:lang w:val="el-GR"/>
        </w:rPr>
        <w:t>.</w:t>
      </w:r>
    </w:p>
    <w:p w14:paraId="7535EA1D" w14:textId="63336529" w:rsidR="006D776F" w:rsidRDefault="006D776F" w:rsidP="006D776F">
      <w:pPr>
        <w:pStyle w:val="a4"/>
        <w:kinsoku w:val="0"/>
        <w:overflowPunct w:val="0"/>
        <w:ind w:left="1780" w:right="170"/>
        <w:jc w:val="both"/>
        <w:rPr>
          <w:sz w:val="20"/>
          <w:szCs w:val="20"/>
          <w:lang w:val="el-GR"/>
        </w:rPr>
      </w:pPr>
    </w:p>
    <w:p w14:paraId="092C7DA5" w14:textId="59A9902B" w:rsidR="00493FDC" w:rsidRDefault="00493FDC" w:rsidP="006D776F">
      <w:pPr>
        <w:pStyle w:val="a4"/>
        <w:kinsoku w:val="0"/>
        <w:overflowPunct w:val="0"/>
        <w:ind w:left="1780" w:right="170"/>
        <w:jc w:val="both"/>
        <w:rPr>
          <w:sz w:val="20"/>
          <w:szCs w:val="20"/>
          <w:lang w:val="el-GR"/>
        </w:rPr>
      </w:pPr>
    </w:p>
    <w:p w14:paraId="7C4E29BA" w14:textId="590CA7AC" w:rsidR="00434FDE" w:rsidRDefault="00776E11" w:rsidP="006D776F">
      <w:pPr>
        <w:pStyle w:val="a4"/>
        <w:kinsoku w:val="0"/>
        <w:overflowPunct w:val="0"/>
        <w:ind w:left="1780" w:right="170"/>
        <w:jc w:val="both"/>
        <w:rPr>
          <w:sz w:val="20"/>
          <w:szCs w:val="20"/>
          <w:lang w:val="el-GR"/>
        </w:rPr>
      </w:pPr>
      <w:r>
        <w:rPr>
          <w:noProof/>
          <w:color w:val="231F20"/>
          <w:lang w:val="el-GR" w:eastAsia="el-GR"/>
        </w:rPr>
        <w:drawing>
          <wp:anchor distT="0" distB="0" distL="114300" distR="114300" simplePos="0" relativeHeight="251646976" behindDoc="0" locked="0" layoutInCell="1" allowOverlap="1" wp14:anchorId="11194BA7" wp14:editId="116026B4">
            <wp:simplePos x="0" y="0"/>
            <wp:positionH relativeFrom="column">
              <wp:posOffset>1108075</wp:posOffset>
            </wp:positionH>
            <wp:positionV relativeFrom="paragraph">
              <wp:posOffset>158115</wp:posOffset>
            </wp:positionV>
            <wp:extent cx="6101715" cy="51435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25452EC2" w14:textId="4A951978" w:rsidR="00776E11" w:rsidRDefault="00776E11" w:rsidP="0047660B">
      <w:pPr>
        <w:pStyle w:val="a4"/>
        <w:kinsoku w:val="0"/>
        <w:overflowPunct w:val="0"/>
        <w:spacing w:before="69"/>
        <w:ind w:left="1780" w:right="170"/>
        <w:rPr>
          <w:color w:val="231F20"/>
          <w:lang w:val="el-GR"/>
        </w:rPr>
      </w:pPr>
    </w:p>
    <w:p w14:paraId="5CAD9FEC" w14:textId="77777777" w:rsidR="00776E11" w:rsidRPr="00D312BF" w:rsidRDefault="00776E11" w:rsidP="00776E11">
      <w:pPr>
        <w:pStyle w:val="1"/>
        <w:pBdr>
          <w:top w:val="single" w:sz="8" w:space="1" w:color="00B0F0"/>
          <w:bottom w:val="single" w:sz="8" w:space="1" w:color="00B0F0"/>
        </w:pBdr>
        <w:kinsoku w:val="0"/>
        <w:overflowPunct w:val="0"/>
        <w:ind w:left="1780" w:right="170"/>
        <w:rPr>
          <w:color w:val="63A1AA"/>
        </w:rPr>
      </w:pPr>
      <w:r w:rsidRPr="009029E5">
        <w:rPr>
          <w:color w:val="63A1AA"/>
        </w:rPr>
        <w:t>Τι  υποδεικνύει η άνοδος των ομολογιακών αποδόσεων για τους μελλοντικούς ρυθμούς</w:t>
      </w:r>
      <w:r>
        <w:rPr>
          <w:color w:val="63A1AA"/>
        </w:rPr>
        <w:t xml:space="preserve"> </w:t>
      </w:r>
      <w:r w:rsidRPr="009029E5">
        <w:rPr>
          <w:color w:val="63A1AA"/>
        </w:rPr>
        <w:t>οικονομικής μεγέθυνσης</w:t>
      </w:r>
    </w:p>
    <w:p w14:paraId="0BDD1600" w14:textId="77777777" w:rsidR="00776E11" w:rsidRDefault="00776E11" w:rsidP="00776E11">
      <w:pPr>
        <w:pStyle w:val="a4"/>
        <w:kinsoku w:val="0"/>
        <w:overflowPunct w:val="0"/>
        <w:spacing w:before="69"/>
        <w:ind w:left="1780" w:right="170"/>
        <w:jc w:val="both"/>
        <w:rPr>
          <w:color w:val="231F20"/>
          <w:sz w:val="20"/>
          <w:szCs w:val="20"/>
          <w:lang w:val="el-GR"/>
        </w:rPr>
      </w:pPr>
    </w:p>
    <w:p w14:paraId="0ACED9F6" w14:textId="77777777" w:rsidR="009B701F" w:rsidRDefault="009B701F" w:rsidP="009B701F">
      <w:pPr>
        <w:pStyle w:val="a4"/>
        <w:kinsoku w:val="0"/>
        <w:overflowPunct w:val="0"/>
        <w:ind w:left="1758" w:right="227"/>
        <w:jc w:val="both"/>
        <w:rPr>
          <w:color w:val="231F20"/>
          <w:sz w:val="20"/>
          <w:szCs w:val="20"/>
          <w:lang w:val="el-GR"/>
        </w:rPr>
      </w:pPr>
      <w:r w:rsidRPr="009029E5">
        <w:rPr>
          <w:color w:val="231F20"/>
          <w:sz w:val="20"/>
          <w:szCs w:val="20"/>
          <w:lang w:val="el-GR"/>
        </w:rPr>
        <w:t>Η εξέλιξη των αποδόσεων των κρατικών ομολόγων αποτελεί</w:t>
      </w:r>
      <w:r>
        <w:rPr>
          <w:color w:val="231F20"/>
          <w:sz w:val="20"/>
          <w:szCs w:val="20"/>
          <w:lang w:val="el-GR"/>
        </w:rPr>
        <w:t>,</w:t>
      </w:r>
      <w:r w:rsidRPr="009029E5">
        <w:rPr>
          <w:color w:val="231F20"/>
          <w:sz w:val="20"/>
          <w:szCs w:val="20"/>
          <w:lang w:val="el-GR"/>
        </w:rPr>
        <w:t xml:space="preserve"> σε σημαντικό βαθμό</w:t>
      </w:r>
      <w:r>
        <w:rPr>
          <w:color w:val="231F20"/>
          <w:sz w:val="20"/>
          <w:szCs w:val="20"/>
          <w:lang w:val="el-GR"/>
        </w:rPr>
        <w:t>,</w:t>
      </w:r>
      <w:r w:rsidRPr="009029E5">
        <w:rPr>
          <w:color w:val="231F20"/>
          <w:sz w:val="20"/>
          <w:szCs w:val="20"/>
          <w:lang w:val="el-GR"/>
        </w:rPr>
        <w:t xml:space="preserve"> ένα εργαλείο αποτύπωσης των προβλέψεων των συμμετεχόντων στις αγορές για την πορεία τόσο των τιμών των περιουσιακών στοιχείων, όσο και των εθνικών οικονομιών. Η αύξηση των αποδόσεων των μακροπρόθεσμων κρατικών τίτλων σταθερού εισοδήματος στις περισσότερες ανεπτυγμένες οικονομίες, τους τελευταίους τρεις μήνες</w:t>
      </w:r>
      <w:r>
        <w:rPr>
          <w:color w:val="231F20"/>
          <w:sz w:val="20"/>
          <w:szCs w:val="20"/>
          <w:lang w:val="el-GR"/>
        </w:rPr>
        <w:t>,</w:t>
      </w:r>
      <w:r w:rsidRPr="009029E5">
        <w:rPr>
          <w:color w:val="231F20"/>
          <w:sz w:val="20"/>
          <w:szCs w:val="20"/>
          <w:lang w:val="el-GR"/>
        </w:rPr>
        <w:t xml:space="preserve"> έχει αποτελέσει θέμα έντονου προβληματισμού. Χαρακτηριστικά αναφέρεται ότι</w:t>
      </w:r>
      <w:r>
        <w:rPr>
          <w:color w:val="231F20"/>
          <w:sz w:val="20"/>
          <w:szCs w:val="20"/>
          <w:lang w:val="el-GR"/>
        </w:rPr>
        <w:t>,</w:t>
      </w:r>
      <w:r w:rsidRPr="009029E5">
        <w:rPr>
          <w:color w:val="231F20"/>
          <w:sz w:val="20"/>
          <w:szCs w:val="20"/>
          <w:lang w:val="el-GR"/>
        </w:rPr>
        <w:t xml:space="preserve"> από τις αρχές Αυγούστου 2020, η απόδοση του 10ετούς κρατικού ομολόγου των ΗΠΑ -το ομόλογο αναφοράς που συγκεντρώνει  το μεγαλύτερο διεθνές επενδυτικό ενδιαφέρον- είχε αυξηθεί</w:t>
      </w:r>
      <w:r>
        <w:rPr>
          <w:color w:val="231F20"/>
          <w:sz w:val="20"/>
          <w:szCs w:val="20"/>
          <w:lang w:val="el-GR"/>
        </w:rPr>
        <w:t>,</w:t>
      </w:r>
      <w:r w:rsidRPr="009029E5">
        <w:rPr>
          <w:color w:val="231F20"/>
          <w:sz w:val="20"/>
          <w:szCs w:val="20"/>
          <w:lang w:val="el-GR"/>
        </w:rPr>
        <w:t xml:space="preserve"> </w:t>
      </w:r>
      <w:r w:rsidRPr="003D307F">
        <w:rPr>
          <w:color w:val="231F20"/>
          <w:sz w:val="20"/>
          <w:szCs w:val="20"/>
          <w:lang w:val="el-GR"/>
        </w:rPr>
        <w:t>μέχρι τις 17 Μαΐου 2021</w:t>
      </w:r>
      <w:r>
        <w:rPr>
          <w:color w:val="231F20"/>
          <w:sz w:val="20"/>
          <w:szCs w:val="20"/>
          <w:lang w:val="el-GR"/>
        </w:rPr>
        <w:t>,</w:t>
      </w:r>
      <w:r w:rsidRPr="003D307F">
        <w:rPr>
          <w:color w:val="231F20"/>
          <w:sz w:val="20"/>
          <w:szCs w:val="20"/>
          <w:lang w:val="el-GR"/>
        </w:rPr>
        <w:t xml:space="preserve"> κατά 112 μονάδες βάσης. Η αύξηση των ονομαστικών αποδόσεων των μακροπρόθεσμων κρατικών ομολόγων</w:t>
      </w:r>
      <w:r w:rsidRPr="009029E5">
        <w:rPr>
          <w:color w:val="231F20"/>
          <w:sz w:val="20"/>
          <w:szCs w:val="20"/>
          <w:lang w:val="el-GR"/>
        </w:rPr>
        <w:t xml:space="preserve"> στις ΗΠΑ λαμβάνει χώρα ταυτόχρονα με τις εξαγγελίες της ομοσπονδιακής τράπεζας (</w:t>
      </w:r>
      <w:proofErr w:type="spellStart"/>
      <w:r w:rsidRPr="009029E5">
        <w:rPr>
          <w:color w:val="231F20"/>
          <w:sz w:val="20"/>
          <w:szCs w:val="20"/>
          <w:lang w:val="el-GR"/>
        </w:rPr>
        <w:t>Fed</w:t>
      </w:r>
      <w:proofErr w:type="spellEnd"/>
      <w:r w:rsidRPr="009029E5">
        <w:rPr>
          <w:color w:val="231F20"/>
          <w:sz w:val="20"/>
          <w:szCs w:val="20"/>
          <w:lang w:val="el-GR"/>
        </w:rPr>
        <w:t xml:space="preserve">) ότι δεν θα αυξήσει άμεσα τα επιτόκια αναφοράς. Σημειώνεται ότι η </w:t>
      </w:r>
      <w:proofErr w:type="spellStart"/>
      <w:r w:rsidRPr="009029E5">
        <w:rPr>
          <w:color w:val="231F20"/>
          <w:sz w:val="20"/>
          <w:szCs w:val="20"/>
          <w:lang w:val="el-GR"/>
        </w:rPr>
        <w:t>Fed</w:t>
      </w:r>
      <w:proofErr w:type="spellEnd"/>
      <w:r w:rsidRPr="009029E5">
        <w:rPr>
          <w:color w:val="231F20"/>
          <w:sz w:val="20"/>
          <w:szCs w:val="20"/>
          <w:lang w:val="el-GR"/>
        </w:rPr>
        <w:t xml:space="preserve"> έχει διατηρήσει τα επιτόκια πολιτικής της από τον Μάρτιο 2020, για πράξεις μίας ημέρας (</w:t>
      </w:r>
      <w:proofErr w:type="spellStart"/>
      <w:r w:rsidRPr="009029E5">
        <w:rPr>
          <w:color w:val="231F20"/>
          <w:sz w:val="20"/>
          <w:szCs w:val="20"/>
          <w:lang w:val="el-GR"/>
        </w:rPr>
        <w:t>overnight</w:t>
      </w:r>
      <w:proofErr w:type="spellEnd"/>
      <w:r w:rsidRPr="009029E5">
        <w:rPr>
          <w:color w:val="231F20"/>
          <w:sz w:val="20"/>
          <w:szCs w:val="20"/>
          <w:lang w:val="el-GR"/>
        </w:rPr>
        <w:t xml:space="preserve">) μεταξύ 0,00% και 0,25% -εξαιρετικά χαμηλά επίπεδα- ως απάντηση στην οικονομική στασιμότητα που προκάλεσε η πανδημική κρίση. Το γεγονός ότι διατηρούνται χαμηλά τα βραχυπρόθεσμα επιτόκια, τα οποία επηρεάζονται κατά κύριο λόγο από την ακολουθούμενη </w:t>
      </w:r>
      <w:proofErr w:type="spellStart"/>
      <w:r w:rsidRPr="009029E5">
        <w:rPr>
          <w:color w:val="231F20"/>
          <w:sz w:val="20"/>
          <w:szCs w:val="20"/>
          <w:lang w:val="el-GR"/>
        </w:rPr>
        <w:t>διευκολυντική</w:t>
      </w:r>
      <w:proofErr w:type="spellEnd"/>
      <w:r w:rsidRPr="009029E5">
        <w:rPr>
          <w:color w:val="231F20"/>
          <w:sz w:val="20"/>
          <w:szCs w:val="20"/>
          <w:lang w:val="el-GR"/>
        </w:rPr>
        <w:t xml:space="preserve"> νομισματική πολιτική, ενώ οι μακροπρόθεσμες αποδόσεις αυξάνουν, ενδεχομένως</w:t>
      </w:r>
      <w:r>
        <w:rPr>
          <w:color w:val="231F20"/>
          <w:sz w:val="20"/>
          <w:szCs w:val="20"/>
          <w:lang w:val="el-GR"/>
        </w:rPr>
        <w:t>,</w:t>
      </w:r>
      <w:r w:rsidRPr="009029E5">
        <w:rPr>
          <w:color w:val="231F20"/>
          <w:sz w:val="20"/>
          <w:szCs w:val="20"/>
          <w:lang w:val="el-GR"/>
        </w:rPr>
        <w:t xml:space="preserve"> να αποτελεί μια ένδειξη για επικείμενη βελτίωση των οικονομικών συνθηκών στο προσεχές μέλλον.</w:t>
      </w:r>
    </w:p>
    <w:p w14:paraId="3C8C57FB" w14:textId="77777777" w:rsidR="009B701F" w:rsidRDefault="009B701F" w:rsidP="009B701F">
      <w:pPr>
        <w:pStyle w:val="a4"/>
        <w:kinsoku w:val="0"/>
        <w:overflowPunct w:val="0"/>
        <w:ind w:left="1758" w:right="227"/>
        <w:jc w:val="both"/>
        <w:rPr>
          <w:color w:val="231F20"/>
          <w:sz w:val="20"/>
          <w:szCs w:val="20"/>
          <w:lang w:val="el-GR"/>
        </w:rPr>
      </w:pPr>
    </w:p>
    <w:p w14:paraId="6F181910" w14:textId="77777777" w:rsidR="009B701F" w:rsidRPr="009029E5" w:rsidRDefault="009B701F" w:rsidP="009B701F">
      <w:pPr>
        <w:pStyle w:val="a4"/>
        <w:kinsoku w:val="0"/>
        <w:overflowPunct w:val="0"/>
        <w:ind w:left="1758" w:right="227"/>
        <w:jc w:val="both"/>
        <w:rPr>
          <w:b/>
          <w:bCs/>
          <w:color w:val="231F20"/>
          <w:sz w:val="20"/>
          <w:szCs w:val="20"/>
          <w:lang w:val="el-GR"/>
        </w:rPr>
      </w:pPr>
      <w:r w:rsidRPr="009029E5">
        <w:rPr>
          <w:b/>
          <w:bCs/>
          <w:color w:val="231F20"/>
          <w:sz w:val="20"/>
          <w:szCs w:val="20"/>
          <w:lang w:val="el-GR"/>
        </w:rPr>
        <w:t>Η προβλεπτική ικανότητα της καμπύλης ομολογιακών αποδόσεων (</w:t>
      </w:r>
      <w:r w:rsidRPr="009029E5">
        <w:rPr>
          <w:b/>
          <w:bCs/>
          <w:color w:val="231F20"/>
          <w:sz w:val="20"/>
          <w:szCs w:val="20"/>
        </w:rPr>
        <w:t>yield</w:t>
      </w:r>
      <w:r w:rsidRPr="009029E5">
        <w:rPr>
          <w:b/>
          <w:bCs/>
          <w:color w:val="231F20"/>
          <w:sz w:val="20"/>
          <w:szCs w:val="20"/>
          <w:lang w:val="el-GR"/>
        </w:rPr>
        <w:t xml:space="preserve"> </w:t>
      </w:r>
      <w:r w:rsidRPr="009029E5">
        <w:rPr>
          <w:b/>
          <w:bCs/>
          <w:color w:val="231F20"/>
          <w:sz w:val="20"/>
          <w:szCs w:val="20"/>
        </w:rPr>
        <w:t>curve</w:t>
      </w:r>
      <w:r w:rsidRPr="009029E5">
        <w:rPr>
          <w:b/>
          <w:bCs/>
          <w:color w:val="231F20"/>
          <w:sz w:val="20"/>
          <w:szCs w:val="20"/>
          <w:lang w:val="el-GR"/>
        </w:rPr>
        <w:t>)</w:t>
      </w:r>
    </w:p>
    <w:p w14:paraId="0A8675B3" w14:textId="77777777" w:rsidR="009B701F" w:rsidRDefault="009B701F" w:rsidP="009B701F">
      <w:pPr>
        <w:pStyle w:val="a4"/>
        <w:kinsoku w:val="0"/>
        <w:overflowPunct w:val="0"/>
        <w:ind w:left="1758" w:right="227"/>
        <w:jc w:val="both"/>
        <w:rPr>
          <w:color w:val="231F20"/>
          <w:sz w:val="20"/>
          <w:szCs w:val="20"/>
          <w:lang w:val="el-GR"/>
        </w:rPr>
      </w:pPr>
    </w:p>
    <w:p w14:paraId="47616D5A" w14:textId="77777777" w:rsidR="00834EB4" w:rsidRDefault="009B701F" w:rsidP="00834EB4">
      <w:pPr>
        <w:pStyle w:val="a4"/>
        <w:kinsoku w:val="0"/>
        <w:overflowPunct w:val="0"/>
        <w:ind w:left="1758" w:right="227"/>
        <w:jc w:val="both"/>
        <w:rPr>
          <w:color w:val="231F20"/>
          <w:sz w:val="20"/>
          <w:szCs w:val="20"/>
          <w:lang w:val="el-GR"/>
        </w:rPr>
      </w:pPr>
      <w:r w:rsidRPr="009029E5">
        <w:rPr>
          <w:color w:val="231F20"/>
          <w:sz w:val="20"/>
          <w:szCs w:val="20"/>
          <w:lang w:val="el-GR"/>
        </w:rPr>
        <w:t>Οι αποδόσεις των μακροπρόθεσμων κρατικών ομολόγων έχουν</w:t>
      </w:r>
      <w:r>
        <w:rPr>
          <w:color w:val="231F20"/>
          <w:sz w:val="20"/>
          <w:szCs w:val="20"/>
          <w:lang w:val="el-GR"/>
        </w:rPr>
        <w:t>,</w:t>
      </w:r>
      <w:r w:rsidRPr="009029E5">
        <w:rPr>
          <w:color w:val="231F20"/>
          <w:sz w:val="20"/>
          <w:szCs w:val="20"/>
          <w:lang w:val="el-GR"/>
        </w:rPr>
        <w:t xml:space="preserve"> κατά καιρούς</w:t>
      </w:r>
      <w:r>
        <w:rPr>
          <w:color w:val="231F20"/>
          <w:sz w:val="20"/>
          <w:szCs w:val="20"/>
          <w:lang w:val="el-GR"/>
        </w:rPr>
        <w:t>,</w:t>
      </w:r>
      <w:r w:rsidRPr="009029E5">
        <w:rPr>
          <w:color w:val="231F20"/>
          <w:sz w:val="20"/>
          <w:szCs w:val="20"/>
          <w:lang w:val="el-GR"/>
        </w:rPr>
        <w:t xml:space="preserve"> αποτελέσει εργαλεία πρόβλεψης για την κατεύθυνση της οικονομικής μεγέθυνσης. Ειδικότερα, η απόδοση του 10ετούς κρατικού</w:t>
      </w:r>
      <w:r w:rsidR="00776E11" w:rsidRPr="009029E5">
        <w:rPr>
          <w:color w:val="231F20"/>
          <w:sz w:val="20"/>
          <w:szCs w:val="20"/>
          <w:lang w:val="el-GR"/>
        </w:rPr>
        <w:t xml:space="preserve"> </w:t>
      </w:r>
      <w:r w:rsidR="00834EB4" w:rsidRPr="009029E5">
        <w:rPr>
          <w:color w:val="231F20"/>
          <w:sz w:val="20"/>
          <w:szCs w:val="20"/>
          <w:lang w:val="el-GR"/>
        </w:rPr>
        <w:t>ομολόγου στις ΗΠΑ άρχισε να υποχωρεί</w:t>
      </w:r>
      <w:r w:rsidR="00834EB4">
        <w:rPr>
          <w:color w:val="231F20"/>
          <w:sz w:val="20"/>
          <w:szCs w:val="20"/>
          <w:lang w:val="el-GR"/>
        </w:rPr>
        <w:t>,</w:t>
      </w:r>
      <w:r w:rsidR="00834EB4" w:rsidRPr="009029E5">
        <w:rPr>
          <w:color w:val="231F20"/>
          <w:sz w:val="20"/>
          <w:szCs w:val="20"/>
          <w:lang w:val="el-GR"/>
        </w:rPr>
        <w:t xml:space="preserve"> από τον Ιούνιο του 2007, πριν οι περισσότεροι συμμετέχοντες στις αγορές αρχίσουν να ομιλούν για μια μεγάλη ύφεση</w:t>
      </w:r>
      <w:r w:rsidR="00834EB4" w:rsidRPr="00BF6A86">
        <w:rPr>
          <w:color w:val="231F20"/>
          <w:sz w:val="20"/>
          <w:szCs w:val="20"/>
          <w:lang w:val="el-GR"/>
        </w:rPr>
        <w:t>.</w:t>
      </w:r>
      <w:r w:rsidR="00834EB4" w:rsidRPr="009029E5">
        <w:rPr>
          <w:color w:val="231F20"/>
          <w:sz w:val="20"/>
          <w:szCs w:val="20"/>
          <w:lang w:val="el-GR"/>
        </w:rPr>
        <w:t xml:space="preserve"> </w:t>
      </w:r>
    </w:p>
    <w:p w14:paraId="46118ADA" w14:textId="635E034E" w:rsidR="00776E11" w:rsidRDefault="00776E11" w:rsidP="009B701F">
      <w:pPr>
        <w:pStyle w:val="a4"/>
        <w:kinsoku w:val="0"/>
        <w:overflowPunct w:val="0"/>
        <w:ind w:left="1758" w:right="227"/>
        <w:jc w:val="both"/>
        <w:rPr>
          <w:color w:val="231F20"/>
          <w:sz w:val="20"/>
          <w:szCs w:val="20"/>
          <w:lang w:val="el-GR"/>
        </w:rPr>
      </w:pPr>
    </w:p>
    <w:p w14:paraId="2A08A922" w14:textId="12482B74" w:rsidR="00776E11" w:rsidRDefault="00776E11" w:rsidP="00776E11">
      <w:pPr>
        <w:pStyle w:val="a4"/>
        <w:kinsoku w:val="0"/>
        <w:overflowPunct w:val="0"/>
        <w:ind w:left="1758" w:right="227"/>
        <w:jc w:val="both"/>
        <w:rPr>
          <w:color w:val="231F20"/>
          <w:sz w:val="20"/>
          <w:szCs w:val="20"/>
          <w:lang w:val="el-GR"/>
        </w:rPr>
      </w:pPr>
      <w:r w:rsidRPr="001A5F17">
        <w:rPr>
          <w:rFonts w:asciiTheme="minorHAnsi" w:eastAsiaTheme="minorHAnsi" w:hAnsiTheme="minorHAnsi" w:cstheme="minorBidi"/>
          <w:noProof/>
          <w:sz w:val="22"/>
          <w:szCs w:val="22"/>
          <w:lang w:val="el-GR" w:eastAsia="el-GR"/>
        </w:rPr>
        <mc:AlternateContent>
          <mc:Choice Requires="wpg">
            <w:drawing>
              <wp:anchor distT="0" distB="0" distL="114300" distR="114300" simplePos="0" relativeHeight="251677696" behindDoc="1" locked="0" layoutInCell="1" allowOverlap="1" wp14:anchorId="1E365367" wp14:editId="13844E3F">
                <wp:simplePos x="0" y="0"/>
                <wp:positionH relativeFrom="column">
                  <wp:posOffset>-28575</wp:posOffset>
                </wp:positionH>
                <wp:positionV relativeFrom="paragraph">
                  <wp:posOffset>31115</wp:posOffset>
                </wp:positionV>
                <wp:extent cx="7223760" cy="3262630"/>
                <wp:effectExtent l="0" t="0" r="0" b="0"/>
                <wp:wrapNone/>
                <wp:docPr id="10"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262630"/>
                          <a:chOff x="0" y="0"/>
                          <a:chExt cx="71121" cy="26289"/>
                        </a:xfrm>
                      </wpg:grpSpPr>
                      <wps:wsp>
                        <wps:cNvPr id="12" name="Rectangle 24"/>
                        <wps:cNvSpPr>
                          <a:spLocks noChangeArrowheads="1"/>
                        </wps:cNvSpPr>
                        <wps:spPr bwMode="auto">
                          <a:xfrm>
                            <a:off x="0" y="0"/>
                            <a:ext cx="10090" cy="26289"/>
                          </a:xfrm>
                          <a:prstGeom prst="rect">
                            <a:avLst/>
                          </a:pr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3FF745" w14:textId="77777777" w:rsidR="00776E11" w:rsidRDefault="00776E11" w:rsidP="00776E11">
                              <w:pPr>
                                <w:jc w:val="center"/>
                                <w:rPr>
                                  <w:rFonts w:ascii="Arial" w:hAnsi="Arial" w:cs="Arial"/>
                                  <w:color w:val="E24C37"/>
                                  <w:spacing w:val="-4"/>
                                  <w:sz w:val="18"/>
                                  <w:lang w:val="en-US"/>
                                </w:rPr>
                              </w:pPr>
                              <w:r w:rsidRPr="00D75593">
                                <w:rPr>
                                  <w:rFonts w:ascii="Arial" w:hAnsi="Arial" w:cs="Arial"/>
                                  <w:color w:val="E24C37"/>
                                  <w:spacing w:val="-4"/>
                                  <w:sz w:val="18"/>
                                  <w:lang w:val="en-US"/>
                                </w:rPr>
                                <w:br/>
                              </w:r>
                              <w:r w:rsidRPr="000769E0">
                                <w:rPr>
                                  <w:rFonts w:ascii="Arial" w:hAnsi="Arial" w:cs="Arial"/>
                                  <w:color w:val="FF0000"/>
                                  <w:spacing w:val="-4"/>
                                  <w:sz w:val="18"/>
                                </w:rPr>
                                <w:t>ΓΡΑΦΗΜΑ</w:t>
                              </w:r>
                              <w:r>
                                <w:rPr>
                                  <w:rFonts w:ascii="Arial" w:hAnsi="Arial" w:cs="Arial"/>
                                  <w:color w:val="FF0000"/>
                                  <w:spacing w:val="-4"/>
                                  <w:sz w:val="18"/>
                                  <w:lang w:val="en-US"/>
                                </w:rPr>
                                <w:t xml:space="preserve"> 6</w:t>
                              </w:r>
                            </w:p>
                            <w:p w14:paraId="7DFDF186" w14:textId="77777777" w:rsidR="00776E11" w:rsidRDefault="00776E11" w:rsidP="00776E11">
                              <w:pPr>
                                <w:jc w:val="center"/>
                                <w:rPr>
                                  <w:rFonts w:ascii="Arial" w:hAnsi="Arial" w:cs="Arial"/>
                                  <w:color w:val="E24C37"/>
                                  <w:spacing w:val="-4"/>
                                  <w:sz w:val="18"/>
                                  <w:lang w:val="en-US"/>
                                </w:rPr>
                              </w:pPr>
                            </w:p>
                            <w:p w14:paraId="12278B42" w14:textId="77777777" w:rsidR="00776E11" w:rsidRDefault="00776E11" w:rsidP="00776E11">
                              <w:pPr>
                                <w:jc w:val="center"/>
                                <w:rPr>
                                  <w:rFonts w:ascii="Arial" w:hAnsi="Arial" w:cs="Arial"/>
                                  <w:color w:val="E24C37"/>
                                  <w:spacing w:val="-4"/>
                                  <w:sz w:val="18"/>
                                  <w:lang w:val="en-US"/>
                                </w:rPr>
                              </w:pPr>
                            </w:p>
                            <w:p w14:paraId="121613E8" w14:textId="77777777" w:rsidR="00776E11" w:rsidRDefault="00776E11" w:rsidP="00776E11">
                              <w:pPr>
                                <w:jc w:val="center"/>
                                <w:rPr>
                                  <w:rFonts w:ascii="Arial" w:hAnsi="Arial" w:cs="Arial"/>
                                  <w:color w:val="E24C37"/>
                                  <w:spacing w:val="-4"/>
                                  <w:sz w:val="18"/>
                                  <w:lang w:val="en-US"/>
                                </w:rPr>
                              </w:pPr>
                            </w:p>
                            <w:p w14:paraId="74067635" w14:textId="77777777" w:rsidR="00776E11" w:rsidRDefault="00776E11" w:rsidP="00776E11">
                              <w:pPr>
                                <w:jc w:val="center"/>
                                <w:rPr>
                                  <w:rFonts w:ascii="Arial" w:hAnsi="Arial" w:cs="Arial"/>
                                  <w:color w:val="E24C37"/>
                                  <w:spacing w:val="-4"/>
                                  <w:sz w:val="18"/>
                                  <w:lang w:val="en-US"/>
                                </w:rPr>
                              </w:pPr>
                            </w:p>
                            <w:p w14:paraId="36F1C1AC" w14:textId="77777777" w:rsidR="00776E11" w:rsidRDefault="00776E11" w:rsidP="00776E11">
                              <w:pPr>
                                <w:jc w:val="center"/>
                                <w:rPr>
                                  <w:rFonts w:ascii="Arial" w:hAnsi="Arial" w:cs="Arial"/>
                                  <w:color w:val="E24C37"/>
                                  <w:spacing w:val="-4"/>
                                  <w:sz w:val="18"/>
                                  <w:lang w:val="en-US"/>
                                </w:rPr>
                              </w:pPr>
                            </w:p>
                            <w:p w14:paraId="739FA50B" w14:textId="77777777" w:rsidR="00776E11" w:rsidRDefault="00776E11" w:rsidP="00776E11">
                              <w:pPr>
                                <w:jc w:val="center"/>
                                <w:rPr>
                                  <w:rFonts w:ascii="Arial" w:hAnsi="Arial" w:cs="Arial"/>
                                  <w:color w:val="E24C37"/>
                                  <w:spacing w:val="-4"/>
                                  <w:sz w:val="18"/>
                                  <w:lang w:val="en-US"/>
                                </w:rPr>
                              </w:pPr>
                            </w:p>
                            <w:p w14:paraId="4E8B94BA" w14:textId="77777777" w:rsidR="00776E11" w:rsidRDefault="00776E11" w:rsidP="00776E11">
                              <w:pPr>
                                <w:jc w:val="center"/>
                                <w:rPr>
                                  <w:rFonts w:ascii="Arial" w:hAnsi="Arial" w:cs="Arial"/>
                                  <w:color w:val="E24C37"/>
                                  <w:spacing w:val="-4"/>
                                  <w:sz w:val="18"/>
                                  <w:lang w:val="en-US"/>
                                </w:rPr>
                              </w:pPr>
                            </w:p>
                            <w:p w14:paraId="5BD5759E" w14:textId="77777777" w:rsidR="00776E11" w:rsidRDefault="00776E11" w:rsidP="00776E11">
                              <w:pPr>
                                <w:jc w:val="center"/>
                                <w:rPr>
                                  <w:rFonts w:ascii="Arial" w:hAnsi="Arial" w:cs="Arial"/>
                                  <w:color w:val="E24C37"/>
                                  <w:spacing w:val="-4"/>
                                  <w:sz w:val="18"/>
                                  <w:lang w:val="en-US"/>
                                </w:rPr>
                              </w:pPr>
                            </w:p>
                            <w:p w14:paraId="270E0445" w14:textId="77777777" w:rsidR="00776E11" w:rsidRDefault="00776E11" w:rsidP="00776E11">
                              <w:pPr>
                                <w:jc w:val="center"/>
                                <w:rPr>
                                  <w:rFonts w:ascii="Arial" w:hAnsi="Arial" w:cs="Arial"/>
                                  <w:color w:val="E24C37"/>
                                  <w:spacing w:val="-4"/>
                                  <w:sz w:val="18"/>
                                  <w:lang w:val="en-US"/>
                                </w:rPr>
                              </w:pPr>
                            </w:p>
                            <w:p w14:paraId="5FC684AF" w14:textId="77777777" w:rsidR="00776E11" w:rsidRDefault="00776E11" w:rsidP="00776E11">
                              <w:pPr>
                                <w:jc w:val="center"/>
                                <w:rPr>
                                  <w:rFonts w:ascii="Arial" w:hAnsi="Arial" w:cs="Arial"/>
                                  <w:color w:val="E24C37"/>
                                  <w:spacing w:val="-4"/>
                                  <w:sz w:val="18"/>
                                  <w:lang w:val="en-US"/>
                                </w:rPr>
                              </w:pPr>
                            </w:p>
                            <w:p w14:paraId="5DDD2190" w14:textId="77777777" w:rsidR="00776E11" w:rsidRPr="007F4129" w:rsidRDefault="00776E11" w:rsidP="00776E11">
                              <w:pPr>
                                <w:jc w:val="center"/>
                                <w:rPr>
                                  <w:rFonts w:ascii="Arial" w:hAnsi="Arial" w:cs="Arial"/>
                                  <w:color w:val="000000"/>
                                  <w:spacing w:val="-4"/>
                                  <w:sz w:val="18"/>
                                  <w:lang w:val="en-US"/>
                                </w:rPr>
                              </w:pPr>
                              <w:r w:rsidRPr="0004158C">
                                <w:rPr>
                                  <w:rFonts w:ascii="Arial" w:hAnsi="Arial" w:cs="Arial"/>
                                  <w:color w:val="000000"/>
                                  <w:spacing w:val="-4"/>
                                  <w:sz w:val="18"/>
                                </w:rPr>
                                <w:t>Πηγή</w:t>
                              </w:r>
                              <w:r w:rsidRPr="007F4129">
                                <w:rPr>
                                  <w:rFonts w:ascii="Arial" w:hAnsi="Arial" w:cs="Arial"/>
                                  <w:color w:val="000000"/>
                                  <w:spacing w:val="-4"/>
                                  <w:sz w:val="18"/>
                                  <w:lang w:val="en-US"/>
                                </w:rPr>
                                <w:t>:</w:t>
                              </w:r>
                              <w:r>
                                <w:rPr>
                                  <w:rFonts w:ascii="Arial" w:hAnsi="Arial" w:cs="Arial"/>
                                  <w:color w:val="000000"/>
                                  <w:spacing w:val="-4"/>
                                  <w:sz w:val="18"/>
                                </w:rPr>
                                <w:t xml:space="preserve"> </w:t>
                              </w:r>
                              <w:r>
                                <w:rPr>
                                  <w:rFonts w:ascii="Arial" w:hAnsi="Arial" w:cs="Arial"/>
                                  <w:color w:val="000000"/>
                                  <w:spacing w:val="-4"/>
                                  <w:sz w:val="18"/>
                                  <w:lang w:val="en-US"/>
                                </w:rPr>
                                <w:t>Bloomberg</w:t>
                              </w:r>
                              <w:r w:rsidRPr="007F4129">
                                <w:rPr>
                                  <w:rFonts w:ascii="Arial" w:hAnsi="Arial" w:cs="Arial"/>
                                  <w:color w:val="000000"/>
                                  <w:spacing w:val="-4"/>
                                  <w:sz w:val="18"/>
                                  <w:lang w:val="en-US"/>
                                </w:rPr>
                                <w:t xml:space="preserve"> </w:t>
                              </w:r>
                            </w:p>
                          </w:txbxContent>
                        </wps:txbx>
                        <wps:bodyPr rot="0" vert="horz" wrap="square" lIns="91440" tIns="45720" rIns="91440" bIns="45720" anchor="t" anchorCtr="0" upright="1">
                          <a:noAutofit/>
                        </wps:bodyPr>
                      </wps:wsp>
                      <wps:wsp>
                        <wps:cNvPr id="13" name="Freeform 364"/>
                        <wps:cNvSpPr>
                          <a:spLocks/>
                        </wps:cNvSpPr>
                        <wps:spPr bwMode="auto">
                          <a:xfrm>
                            <a:off x="11460" y="0"/>
                            <a:ext cx="59661"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26ECFCF2" w14:textId="77777777" w:rsidR="00776E11" w:rsidRPr="00830BBA" w:rsidRDefault="00776E11" w:rsidP="00776E11">
                              <w:pPr>
                                <w:tabs>
                                  <w:tab w:val="left" w:pos="2410"/>
                                </w:tabs>
                                <w:spacing w:after="0"/>
                                <w:rPr>
                                  <w:rFonts w:ascii="Arial" w:eastAsia="Arial" w:hAnsi="Arial" w:cs="Arial"/>
                                  <w:color w:val="0E3B70"/>
                                  <w:sz w:val="10"/>
                                  <w:szCs w:val="10"/>
                                </w:rPr>
                              </w:pPr>
                            </w:p>
                            <w:p w14:paraId="6CB0876F" w14:textId="77777777" w:rsidR="00776E11" w:rsidRPr="00B557C9" w:rsidRDefault="00776E11" w:rsidP="00776E11">
                              <w:pPr>
                                <w:tabs>
                                  <w:tab w:val="left" w:pos="2410"/>
                                </w:tabs>
                                <w:spacing w:after="0"/>
                                <w:rPr>
                                  <w:rFonts w:ascii="Arial" w:hAnsi="Arial" w:cs="Arial"/>
                                  <w:noProof/>
                                  <w:sz w:val="20"/>
                                  <w:lang w:eastAsia="el-GR"/>
                                </w:rPr>
                              </w:pPr>
                              <w:r>
                                <w:rPr>
                                  <w:rFonts w:ascii="Arial" w:eastAsia="Arial" w:hAnsi="Arial" w:cs="Arial"/>
                                  <w:color w:val="0E3B70"/>
                                  <w:sz w:val="20"/>
                                  <w:szCs w:val="20"/>
                                </w:rPr>
                                <w:t>ΗΠΑ</w:t>
                              </w:r>
                              <w:r w:rsidRPr="00B557C9">
                                <w:rPr>
                                  <w:rFonts w:ascii="Arial" w:eastAsia="Arial" w:hAnsi="Arial" w:cs="Arial"/>
                                  <w:color w:val="0E3B70"/>
                                  <w:sz w:val="20"/>
                                  <w:szCs w:val="20"/>
                                </w:rPr>
                                <w:t xml:space="preserve">: </w:t>
                              </w:r>
                              <w:r>
                                <w:rPr>
                                  <w:rFonts w:ascii="Arial" w:eastAsia="Arial" w:hAnsi="Arial" w:cs="Arial"/>
                                  <w:color w:val="0E3B70"/>
                                  <w:sz w:val="20"/>
                                  <w:szCs w:val="20"/>
                                </w:rPr>
                                <w:t>Διαφορά απόδοσης 10ετούς κρατικού ομολόγου και 3μηνιαίου εντόκου γραμματίου</w:t>
                              </w:r>
                            </w:p>
                            <w:p w14:paraId="4B489E04" w14:textId="77777777" w:rsidR="00776E11" w:rsidRDefault="00776E11" w:rsidP="00776E11">
                              <w:pPr>
                                <w:tabs>
                                  <w:tab w:val="left" w:pos="2410"/>
                                </w:tabs>
                                <w:spacing w:after="0"/>
                                <w:rPr>
                                  <w:rFonts w:ascii="Arial" w:hAnsi="Arial" w:cs="Arial"/>
                                  <w:sz w:val="20"/>
                                </w:rPr>
                              </w:pPr>
                              <w:r w:rsidRPr="009906A8">
                                <w:rPr>
                                  <w:rFonts w:ascii="Arial" w:hAnsi="Arial" w:cs="Arial"/>
                                  <w:noProof/>
                                  <w:sz w:val="20"/>
                                  <w:lang w:eastAsia="el-GR"/>
                                </w:rPr>
                                <w:drawing>
                                  <wp:inline distT="0" distB="0" distL="0" distR="0" wp14:anchorId="45BA3D44" wp14:editId="14CD2589">
                                    <wp:extent cx="5947410" cy="47277"/>
                                    <wp:effectExtent l="0" t="0" r="0" b="0"/>
                                    <wp:docPr id="69"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3BE2E07C" w14:textId="77777777" w:rsidR="00776E11" w:rsidRPr="005F4DC6" w:rsidRDefault="00776E11" w:rsidP="00776E11">
                              <w:pPr>
                                <w:tabs>
                                  <w:tab w:val="left" w:pos="2410"/>
                                </w:tabs>
                                <w:spacing w:after="0"/>
                                <w:rPr>
                                  <w:rFonts w:ascii="Arial" w:hAnsi="Arial" w:cs="Arial"/>
                                  <w:sz w:val="20"/>
                                </w:rPr>
                              </w:pPr>
                              <w:r w:rsidRPr="00B557C9">
                                <w:rPr>
                                  <w:noProof/>
                                  <w:lang w:eastAsia="el-GR"/>
                                </w:rPr>
                                <w:drawing>
                                  <wp:inline distT="0" distB="0" distL="0" distR="0" wp14:anchorId="1D25A55B" wp14:editId="48454A75">
                                    <wp:extent cx="5686425" cy="26955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86425" cy="2695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E365367" id="_x0000_s1041" style="position:absolute;left:0;text-align:left;margin-left:-2.25pt;margin-top:2.45pt;width:568.8pt;height:256.9pt;z-index:-251638784;mso-height-relative:margin" coordsize="711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">
                <v:rect id="Rectangle 24" o:spid="_x0000_s1042"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" fillcolor="#e5e4de" stroked="f">
                  <v:textbox>
                    <w:txbxContent>
                      <w:p w14:paraId="313FF745" w14:textId="77777777" w:rsidR="00776E11" w:rsidRDefault="00776E11" w:rsidP="00776E11">
                        <w:pPr>
                          <w:jc w:val="center"/>
                          <w:rPr>
                            <w:rFonts w:ascii="Arial" w:hAnsi="Arial" w:cs="Arial"/>
                            <w:color w:val="E24C37"/>
                            <w:spacing w:val="-4"/>
                            <w:sz w:val="18"/>
                            <w:lang w:val="en-US"/>
                          </w:rPr>
                        </w:pPr>
                        <w:r w:rsidRPr="00D75593">
                          <w:rPr>
                            <w:rFonts w:ascii="Arial" w:hAnsi="Arial" w:cs="Arial"/>
                            <w:color w:val="E24C37"/>
                            <w:spacing w:val="-4"/>
                            <w:sz w:val="18"/>
                            <w:lang w:val="en-US"/>
                          </w:rPr>
                          <w:br/>
                        </w:r>
                        <w:r w:rsidRPr="000769E0">
                          <w:rPr>
                            <w:rFonts w:ascii="Arial" w:hAnsi="Arial" w:cs="Arial"/>
                            <w:color w:val="FF0000"/>
                            <w:spacing w:val="-4"/>
                            <w:sz w:val="18"/>
                          </w:rPr>
                          <w:t>ΓΡΑΦΗΜΑ</w:t>
                        </w:r>
                        <w:r>
                          <w:rPr>
                            <w:rFonts w:ascii="Arial" w:hAnsi="Arial" w:cs="Arial"/>
                            <w:color w:val="FF0000"/>
                            <w:spacing w:val="-4"/>
                            <w:sz w:val="18"/>
                            <w:lang w:val="en-US"/>
                          </w:rPr>
                          <w:t xml:space="preserve"> 6</w:t>
                        </w:r>
                      </w:p>
                      <w:p w14:paraId="7DFDF186" w14:textId="77777777" w:rsidR="00776E11" w:rsidRDefault="00776E11" w:rsidP="00776E11">
                        <w:pPr>
                          <w:jc w:val="center"/>
                          <w:rPr>
                            <w:rFonts w:ascii="Arial" w:hAnsi="Arial" w:cs="Arial"/>
                            <w:color w:val="E24C37"/>
                            <w:spacing w:val="-4"/>
                            <w:sz w:val="18"/>
                            <w:lang w:val="en-US"/>
                          </w:rPr>
                        </w:pPr>
                      </w:p>
                      <w:p w14:paraId="12278B42" w14:textId="77777777" w:rsidR="00776E11" w:rsidRDefault="00776E11" w:rsidP="00776E11">
                        <w:pPr>
                          <w:jc w:val="center"/>
                          <w:rPr>
                            <w:rFonts w:ascii="Arial" w:hAnsi="Arial" w:cs="Arial"/>
                            <w:color w:val="E24C37"/>
                            <w:spacing w:val="-4"/>
                            <w:sz w:val="18"/>
                            <w:lang w:val="en-US"/>
                          </w:rPr>
                        </w:pPr>
                      </w:p>
                      <w:p w14:paraId="121613E8" w14:textId="77777777" w:rsidR="00776E11" w:rsidRDefault="00776E11" w:rsidP="00776E11">
                        <w:pPr>
                          <w:jc w:val="center"/>
                          <w:rPr>
                            <w:rFonts w:ascii="Arial" w:hAnsi="Arial" w:cs="Arial"/>
                            <w:color w:val="E24C37"/>
                            <w:spacing w:val="-4"/>
                            <w:sz w:val="18"/>
                            <w:lang w:val="en-US"/>
                          </w:rPr>
                        </w:pPr>
                      </w:p>
                      <w:p w14:paraId="74067635" w14:textId="77777777" w:rsidR="00776E11" w:rsidRDefault="00776E11" w:rsidP="00776E11">
                        <w:pPr>
                          <w:jc w:val="center"/>
                          <w:rPr>
                            <w:rFonts w:ascii="Arial" w:hAnsi="Arial" w:cs="Arial"/>
                            <w:color w:val="E24C37"/>
                            <w:spacing w:val="-4"/>
                            <w:sz w:val="18"/>
                            <w:lang w:val="en-US"/>
                          </w:rPr>
                        </w:pPr>
                      </w:p>
                      <w:p w14:paraId="36F1C1AC" w14:textId="77777777" w:rsidR="00776E11" w:rsidRDefault="00776E11" w:rsidP="00776E11">
                        <w:pPr>
                          <w:jc w:val="center"/>
                          <w:rPr>
                            <w:rFonts w:ascii="Arial" w:hAnsi="Arial" w:cs="Arial"/>
                            <w:color w:val="E24C37"/>
                            <w:spacing w:val="-4"/>
                            <w:sz w:val="18"/>
                            <w:lang w:val="en-US"/>
                          </w:rPr>
                        </w:pPr>
                      </w:p>
                      <w:p w14:paraId="739FA50B" w14:textId="77777777" w:rsidR="00776E11" w:rsidRDefault="00776E11" w:rsidP="00776E11">
                        <w:pPr>
                          <w:jc w:val="center"/>
                          <w:rPr>
                            <w:rFonts w:ascii="Arial" w:hAnsi="Arial" w:cs="Arial"/>
                            <w:color w:val="E24C37"/>
                            <w:spacing w:val="-4"/>
                            <w:sz w:val="18"/>
                            <w:lang w:val="en-US"/>
                          </w:rPr>
                        </w:pPr>
                      </w:p>
                      <w:p w14:paraId="4E8B94BA" w14:textId="77777777" w:rsidR="00776E11" w:rsidRDefault="00776E11" w:rsidP="00776E11">
                        <w:pPr>
                          <w:jc w:val="center"/>
                          <w:rPr>
                            <w:rFonts w:ascii="Arial" w:hAnsi="Arial" w:cs="Arial"/>
                            <w:color w:val="E24C37"/>
                            <w:spacing w:val="-4"/>
                            <w:sz w:val="18"/>
                            <w:lang w:val="en-US"/>
                          </w:rPr>
                        </w:pPr>
                      </w:p>
                      <w:p w14:paraId="5BD5759E" w14:textId="77777777" w:rsidR="00776E11" w:rsidRDefault="00776E11" w:rsidP="00776E11">
                        <w:pPr>
                          <w:jc w:val="center"/>
                          <w:rPr>
                            <w:rFonts w:ascii="Arial" w:hAnsi="Arial" w:cs="Arial"/>
                            <w:color w:val="E24C37"/>
                            <w:spacing w:val="-4"/>
                            <w:sz w:val="18"/>
                            <w:lang w:val="en-US"/>
                          </w:rPr>
                        </w:pPr>
                      </w:p>
                      <w:p w14:paraId="270E0445" w14:textId="77777777" w:rsidR="00776E11" w:rsidRDefault="00776E11" w:rsidP="00776E11">
                        <w:pPr>
                          <w:jc w:val="center"/>
                          <w:rPr>
                            <w:rFonts w:ascii="Arial" w:hAnsi="Arial" w:cs="Arial"/>
                            <w:color w:val="E24C37"/>
                            <w:spacing w:val="-4"/>
                            <w:sz w:val="18"/>
                            <w:lang w:val="en-US"/>
                          </w:rPr>
                        </w:pPr>
                      </w:p>
                      <w:p w14:paraId="5FC684AF" w14:textId="77777777" w:rsidR="00776E11" w:rsidRDefault="00776E11" w:rsidP="00776E11">
                        <w:pPr>
                          <w:jc w:val="center"/>
                          <w:rPr>
                            <w:rFonts w:ascii="Arial" w:hAnsi="Arial" w:cs="Arial"/>
                            <w:color w:val="E24C37"/>
                            <w:spacing w:val="-4"/>
                            <w:sz w:val="18"/>
                            <w:lang w:val="en-US"/>
                          </w:rPr>
                        </w:pPr>
                      </w:p>
                      <w:p w14:paraId="5DDD2190" w14:textId="77777777" w:rsidR="00776E11" w:rsidRPr="007F4129" w:rsidRDefault="00776E11" w:rsidP="00776E11">
                        <w:pPr>
                          <w:jc w:val="center"/>
                          <w:rPr>
                            <w:rFonts w:ascii="Arial" w:hAnsi="Arial" w:cs="Arial"/>
                            <w:color w:val="000000"/>
                            <w:spacing w:val="-4"/>
                            <w:sz w:val="18"/>
                            <w:lang w:val="en-US"/>
                          </w:rPr>
                        </w:pPr>
                        <w:r w:rsidRPr="0004158C">
                          <w:rPr>
                            <w:rFonts w:ascii="Arial" w:hAnsi="Arial" w:cs="Arial"/>
                            <w:color w:val="000000"/>
                            <w:spacing w:val="-4"/>
                            <w:sz w:val="18"/>
                          </w:rPr>
                          <w:t>Πηγή</w:t>
                        </w:r>
                        <w:r w:rsidRPr="007F4129">
                          <w:rPr>
                            <w:rFonts w:ascii="Arial" w:hAnsi="Arial" w:cs="Arial"/>
                            <w:color w:val="000000"/>
                            <w:spacing w:val="-4"/>
                            <w:sz w:val="18"/>
                            <w:lang w:val="en-US"/>
                          </w:rPr>
                          <w:t>:</w:t>
                        </w:r>
                        <w:r>
                          <w:rPr>
                            <w:rFonts w:ascii="Arial" w:hAnsi="Arial" w:cs="Arial"/>
                            <w:color w:val="000000"/>
                            <w:spacing w:val="-4"/>
                            <w:sz w:val="18"/>
                          </w:rPr>
                          <w:t xml:space="preserve"> </w:t>
                        </w:r>
                        <w:r>
                          <w:rPr>
                            <w:rFonts w:ascii="Arial" w:hAnsi="Arial" w:cs="Arial"/>
                            <w:color w:val="000000"/>
                            <w:spacing w:val="-4"/>
                            <w:sz w:val="18"/>
                            <w:lang w:val="en-US"/>
                          </w:rPr>
                          <w:t>Bloomberg</w:t>
                        </w:r>
                        <w:r w:rsidRPr="007F4129">
                          <w:rPr>
                            <w:rFonts w:ascii="Arial" w:hAnsi="Arial" w:cs="Arial"/>
                            <w:color w:val="000000"/>
                            <w:spacing w:val="-4"/>
                            <w:sz w:val="18"/>
                            <w:lang w:val="en-US"/>
                          </w:rPr>
                          <w:t xml:space="preserve"> </w:t>
                        </w:r>
                      </w:p>
                    </w:txbxContent>
                  </v:textbox>
                </v:rect>
                <v:shape id="Freeform 364" o:spid="_x0000_s1043" style="position:absolute;left:11460;width:59661;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" adj="-11796480,,5400" path="m9585,l,,,4123r9585,l9585,xe" fillcolor="#e5e4de" stroked="f">
                  <v:stroke joinstyle="miter"/>
                  <v:formulas/>
                  <v:path arrowok="t" o:connecttype="custom" o:connectlocs="37880783,0;0,0;0,16754221;37880783,16754221;37880783,0" o:connectangles="0,0,0,0,0" textboxrect="0,0,9586,4124"/>
                  <v:textbox>
                    <w:txbxContent>
                      <w:p w14:paraId="26ECFCF2" w14:textId="77777777" w:rsidR="00776E11" w:rsidRPr="00830BBA" w:rsidRDefault="00776E11" w:rsidP="00776E11">
                        <w:pPr>
                          <w:tabs>
                            <w:tab w:val="left" w:pos="2410"/>
                          </w:tabs>
                          <w:spacing w:after="0"/>
                          <w:rPr>
                            <w:rFonts w:ascii="Arial" w:eastAsia="Arial" w:hAnsi="Arial" w:cs="Arial"/>
                            <w:color w:val="0E3B70"/>
                            <w:sz w:val="10"/>
                            <w:szCs w:val="10"/>
                          </w:rPr>
                        </w:pPr>
                      </w:p>
                      <w:p w14:paraId="6CB0876F" w14:textId="77777777" w:rsidR="00776E11" w:rsidRPr="00B557C9" w:rsidRDefault="00776E11" w:rsidP="00776E11">
                        <w:pPr>
                          <w:tabs>
                            <w:tab w:val="left" w:pos="2410"/>
                          </w:tabs>
                          <w:spacing w:after="0"/>
                          <w:rPr>
                            <w:rFonts w:ascii="Arial" w:hAnsi="Arial" w:cs="Arial"/>
                            <w:noProof/>
                            <w:sz w:val="20"/>
                            <w:lang w:eastAsia="el-GR"/>
                          </w:rPr>
                        </w:pPr>
                        <w:r>
                          <w:rPr>
                            <w:rFonts w:ascii="Arial" w:eastAsia="Arial" w:hAnsi="Arial" w:cs="Arial"/>
                            <w:color w:val="0E3B70"/>
                            <w:sz w:val="20"/>
                            <w:szCs w:val="20"/>
                          </w:rPr>
                          <w:t>ΗΠΑ</w:t>
                        </w:r>
                        <w:r w:rsidRPr="00B557C9">
                          <w:rPr>
                            <w:rFonts w:ascii="Arial" w:eastAsia="Arial" w:hAnsi="Arial" w:cs="Arial"/>
                            <w:color w:val="0E3B70"/>
                            <w:sz w:val="20"/>
                            <w:szCs w:val="20"/>
                          </w:rPr>
                          <w:t xml:space="preserve">: </w:t>
                        </w:r>
                        <w:r>
                          <w:rPr>
                            <w:rFonts w:ascii="Arial" w:eastAsia="Arial" w:hAnsi="Arial" w:cs="Arial"/>
                            <w:color w:val="0E3B70"/>
                            <w:sz w:val="20"/>
                            <w:szCs w:val="20"/>
                          </w:rPr>
                          <w:t>Διαφορά απόδοσης 10ετούς κρατικού ομολόγου και 3μηνιαίου εντόκου γραμματίου</w:t>
                        </w:r>
                      </w:p>
                      <w:p w14:paraId="4B489E04" w14:textId="77777777" w:rsidR="00776E11" w:rsidRDefault="00776E11" w:rsidP="00776E11">
                        <w:pPr>
                          <w:tabs>
                            <w:tab w:val="left" w:pos="2410"/>
                          </w:tabs>
                          <w:spacing w:after="0"/>
                          <w:rPr>
                            <w:rFonts w:ascii="Arial" w:hAnsi="Arial" w:cs="Arial"/>
                            <w:sz w:val="20"/>
                          </w:rPr>
                        </w:pPr>
                        <w:r w:rsidRPr="009906A8">
                          <w:rPr>
                            <w:rFonts w:ascii="Arial" w:hAnsi="Arial" w:cs="Arial"/>
                            <w:noProof/>
                            <w:sz w:val="20"/>
                            <w:lang w:eastAsia="el-GR"/>
                          </w:rPr>
                          <w:drawing>
                            <wp:inline distT="0" distB="0" distL="0" distR="0" wp14:anchorId="45BA3D44" wp14:editId="14CD2589">
                              <wp:extent cx="5947410" cy="47277"/>
                              <wp:effectExtent l="0" t="0" r="0" b="0"/>
                              <wp:docPr id="69"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3BE2E07C" w14:textId="77777777" w:rsidR="00776E11" w:rsidRPr="005F4DC6" w:rsidRDefault="00776E11" w:rsidP="00776E11">
                        <w:pPr>
                          <w:tabs>
                            <w:tab w:val="left" w:pos="2410"/>
                          </w:tabs>
                          <w:spacing w:after="0"/>
                          <w:rPr>
                            <w:rFonts w:ascii="Arial" w:hAnsi="Arial" w:cs="Arial"/>
                            <w:sz w:val="20"/>
                          </w:rPr>
                        </w:pPr>
                        <w:r w:rsidRPr="00B557C9">
                          <w:rPr>
                            <w:noProof/>
                            <w:lang w:eastAsia="el-GR"/>
                          </w:rPr>
                          <w:drawing>
                            <wp:inline distT="0" distB="0" distL="0" distR="0" wp14:anchorId="1D25A55B" wp14:editId="48454A75">
                              <wp:extent cx="5686425" cy="26955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86425" cy="2695575"/>
                                      </a:xfrm>
                                      <a:prstGeom prst="rect">
                                        <a:avLst/>
                                      </a:prstGeom>
                                      <a:noFill/>
                                      <a:ln>
                                        <a:noFill/>
                                      </a:ln>
                                    </pic:spPr>
                                  </pic:pic>
                                </a:graphicData>
                              </a:graphic>
                            </wp:inline>
                          </w:drawing>
                        </w:r>
                      </w:p>
                    </w:txbxContent>
                  </v:textbox>
                </v:shape>
              </v:group>
            </w:pict>
          </mc:Fallback>
        </mc:AlternateContent>
      </w:r>
      <w:r w:rsidRPr="009029E5">
        <w:rPr>
          <w:color w:val="231F20"/>
          <w:sz w:val="20"/>
          <w:szCs w:val="20"/>
          <w:lang w:val="el-GR"/>
        </w:rPr>
        <w:t xml:space="preserve"> </w:t>
      </w:r>
    </w:p>
    <w:p w14:paraId="294D5252" w14:textId="01681DB4" w:rsidR="00776E11" w:rsidRDefault="00776E11" w:rsidP="00776E11">
      <w:pPr>
        <w:pStyle w:val="a4"/>
        <w:kinsoku w:val="0"/>
        <w:overflowPunct w:val="0"/>
        <w:spacing w:before="69"/>
        <w:ind w:left="1780" w:right="170"/>
        <w:jc w:val="both"/>
        <w:rPr>
          <w:color w:val="231F20"/>
          <w:sz w:val="20"/>
          <w:szCs w:val="20"/>
          <w:lang w:val="el-GR"/>
        </w:rPr>
      </w:pPr>
    </w:p>
    <w:p w14:paraId="165BECE2" w14:textId="77777777" w:rsidR="00776E11" w:rsidRDefault="00776E11" w:rsidP="00776E11">
      <w:pPr>
        <w:pStyle w:val="a4"/>
        <w:kinsoku w:val="0"/>
        <w:overflowPunct w:val="0"/>
        <w:spacing w:before="69"/>
        <w:ind w:left="1780" w:right="170"/>
        <w:jc w:val="both"/>
        <w:rPr>
          <w:color w:val="231F20"/>
          <w:sz w:val="20"/>
          <w:szCs w:val="20"/>
          <w:lang w:val="el-GR"/>
        </w:rPr>
      </w:pPr>
    </w:p>
    <w:p w14:paraId="5F9B4C74" w14:textId="77777777" w:rsidR="00776E11" w:rsidRDefault="00776E11" w:rsidP="00776E11">
      <w:pPr>
        <w:pStyle w:val="a4"/>
        <w:kinsoku w:val="0"/>
        <w:overflowPunct w:val="0"/>
        <w:spacing w:before="69"/>
        <w:ind w:left="1780" w:right="170"/>
        <w:jc w:val="both"/>
        <w:rPr>
          <w:color w:val="231F20"/>
          <w:sz w:val="20"/>
          <w:szCs w:val="20"/>
          <w:lang w:val="el-GR"/>
        </w:rPr>
      </w:pPr>
    </w:p>
    <w:p w14:paraId="63D0DA60" w14:textId="77777777" w:rsidR="00776E11" w:rsidRDefault="00776E11" w:rsidP="00776E11">
      <w:pPr>
        <w:pStyle w:val="a4"/>
        <w:kinsoku w:val="0"/>
        <w:overflowPunct w:val="0"/>
        <w:spacing w:before="69"/>
        <w:ind w:left="1780" w:right="170"/>
        <w:jc w:val="both"/>
        <w:rPr>
          <w:color w:val="231F20"/>
          <w:sz w:val="20"/>
          <w:szCs w:val="20"/>
          <w:lang w:val="el-GR"/>
        </w:rPr>
      </w:pPr>
    </w:p>
    <w:p w14:paraId="5E5685B7" w14:textId="77777777" w:rsidR="00776E11" w:rsidRDefault="00776E11" w:rsidP="00776E11">
      <w:pPr>
        <w:pStyle w:val="a4"/>
        <w:kinsoku w:val="0"/>
        <w:overflowPunct w:val="0"/>
        <w:spacing w:before="69"/>
        <w:ind w:left="1780" w:right="170"/>
        <w:jc w:val="both"/>
        <w:rPr>
          <w:color w:val="231F20"/>
          <w:sz w:val="20"/>
          <w:szCs w:val="20"/>
          <w:lang w:val="el-GR"/>
        </w:rPr>
      </w:pPr>
    </w:p>
    <w:p w14:paraId="3854AC73" w14:textId="77777777" w:rsidR="00776E11" w:rsidRDefault="00776E11" w:rsidP="00776E11">
      <w:pPr>
        <w:pStyle w:val="a4"/>
        <w:kinsoku w:val="0"/>
        <w:overflowPunct w:val="0"/>
        <w:spacing w:before="69"/>
        <w:ind w:left="1780" w:right="170"/>
        <w:jc w:val="both"/>
        <w:rPr>
          <w:color w:val="231F20"/>
          <w:sz w:val="20"/>
          <w:szCs w:val="20"/>
          <w:lang w:val="el-GR"/>
        </w:rPr>
      </w:pPr>
    </w:p>
    <w:p w14:paraId="236891FE" w14:textId="77777777" w:rsidR="00776E11" w:rsidRDefault="00776E11" w:rsidP="00776E11">
      <w:pPr>
        <w:pStyle w:val="a4"/>
        <w:kinsoku w:val="0"/>
        <w:overflowPunct w:val="0"/>
        <w:spacing w:before="69"/>
        <w:ind w:left="1780" w:right="170"/>
        <w:jc w:val="both"/>
        <w:rPr>
          <w:color w:val="231F20"/>
          <w:sz w:val="20"/>
          <w:szCs w:val="20"/>
          <w:lang w:val="el-GR"/>
        </w:rPr>
      </w:pPr>
    </w:p>
    <w:p w14:paraId="7DB58B6C" w14:textId="77777777" w:rsidR="00776E11" w:rsidRDefault="00776E11" w:rsidP="00776E11">
      <w:pPr>
        <w:pStyle w:val="a4"/>
        <w:kinsoku w:val="0"/>
        <w:overflowPunct w:val="0"/>
        <w:spacing w:before="69"/>
        <w:ind w:left="1780" w:right="170"/>
        <w:jc w:val="both"/>
        <w:rPr>
          <w:color w:val="231F20"/>
          <w:sz w:val="20"/>
          <w:szCs w:val="20"/>
          <w:lang w:val="el-GR"/>
        </w:rPr>
      </w:pPr>
    </w:p>
    <w:p w14:paraId="38B29962" w14:textId="77777777" w:rsidR="00776E11" w:rsidRDefault="00776E11" w:rsidP="00776E11">
      <w:pPr>
        <w:pStyle w:val="a4"/>
        <w:kinsoku w:val="0"/>
        <w:overflowPunct w:val="0"/>
        <w:spacing w:before="69"/>
        <w:ind w:left="1780" w:right="170"/>
        <w:jc w:val="both"/>
        <w:rPr>
          <w:color w:val="231F20"/>
          <w:sz w:val="20"/>
          <w:szCs w:val="20"/>
          <w:lang w:val="el-GR"/>
        </w:rPr>
      </w:pPr>
    </w:p>
    <w:p w14:paraId="36B314DA" w14:textId="77777777" w:rsidR="00776E11" w:rsidRDefault="00776E11" w:rsidP="00776E11">
      <w:pPr>
        <w:pStyle w:val="a4"/>
        <w:kinsoku w:val="0"/>
        <w:overflowPunct w:val="0"/>
        <w:spacing w:before="69"/>
        <w:ind w:left="1780" w:right="170"/>
        <w:jc w:val="both"/>
        <w:rPr>
          <w:color w:val="231F20"/>
          <w:sz w:val="20"/>
          <w:szCs w:val="20"/>
          <w:lang w:val="el-GR"/>
        </w:rPr>
      </w:pPr>
    </w:p>
    <w:p w14:paraId="0F33B748" w14:textId="77777777" w:rsidR="00776E11" w:rsidRDefault="00776E11" w:rsidP="00776E11">
      <w:pPr>
        <w:pStyle w:val="a4"/>
        <w:kinsoku w:val="0"/>
        <w:overflowPunct w:val="0"/>
        <w:spacing w:before="69"/>
        <w:ind w:left="1780" w:right="170"/>
        <w:jc w:val="both"/>
        <w:rPr>
          <w:color w:val="231F20"/>
          <w:sz w:val="20"/>
          <w:szCs w:val="20"/>
          <w:lang w:val="el-GR"/>
        </w:rPr>
      </w:pPr>
    </w:p>
    <w:p w14:paraId="4E0AEE97" w14:textId="77777777" w:rsidR="00776E11" w:rsidRDefault="00776E11" w:rsidP="00776E11">
      <w:pPr>
        <w:pStyle w:val="a4"/>
        <w:kinsoku w:val="0"/>
        <w:overflowPunct w:val="0"/>
        <w:spacing w:before="69"/>
        <w:ind w:left="1780" w:right="170"/>
        <w:jc w:val="both"/>
        <w:rPr>
          <w:color w:val="231F20"/>
          <w:sz w:val="20"/>
          <w:szCs w:val="20"/>
          <w:lang w:val="el-GR"/>
        </w:rPr>
      </w:pPr>
    </w:p>
    <w:p w14:paraId="147001DB" w14:textId="77777777" w:rsidR="00776E11" w:rsidRDefault="00776E11" w:rsidP="00776E11">
      <w:pPr>
        <w:pStyle w:val="a4"/>
        <w:kinsoku w:val="0"/>
        <w:overflowPunct w:val="0"/>
        <w:spacing w:before="69"/>
        <w:ind w:left="1780" w:right="170"/>
        <w:jc w:val="both"/>
        <w:rPr>
          <w:color w:val="231F20"/>
          <w:sz w:val="20"/>
          <w:szCs w:val="20"/>
          <w:lang w:val="el-GR"/>
        </w:rPr>
      </w:pPr>
    </w:p>
    <w:p w14:paraId="2803F0B9" w14:textId="77777777" w:rsidR="00776E11" w:rsidRDefault="00776E11" w:rsidP="00776E11">
      <w:pPr>
        <w:pStyle w:val="a4"/>
        <w:kinsoku w:val="0"/>
        <w:overflowPunct w:val="0"/>
        <w:spacing w:before="69"/>
        <w:ind w:left="1780" w:right="170"/>
        <w:jc w:val="both"/>
        <w:rPr>
          <w:color w:val="231F20"/>
          <w:sz w:val="20"/>
          <w:szCs w:val="20"/>
          <w:lang w:val="el-GR"/>
        </w:rPr>
      </w:pPr>
    </w:p>
    <w:p w14:paraId="3A36AB98" w14:textId="77777777" w:rsidR="00776E11" w:rsidRDefault="00776E11" w:rsidP="00776E11">
      <w:pPr>
        <w:pStyle w:val="a4"/>
        <w:kinsoku w:val="0"/>
        <w:overflowPunct w:val="0"/>
        <w:spacing w:before="69"/>
        <w:ind w:left="1780" w:right="170"/>
        <w:jc w:val="both"/>
        <w:rPr>
          <w:color w:val="231F20"/>
          <w:sz w:val="20"/>
          <w:szCs w:val="20"/>
          <w:lang w:val="el-GR"/>
        </w:rPr>
      </w:pPr>
    </w:p>
    <w:p w14:paraId="7D524810" w14:textId="77777777" w:rsidR="00776E11" w:rsidRDefault="00776E11" w:rsidP="00776E11">
      <w:pPr>
        <w:pStyle w:val="a4"/>
        <w:kinsoku w:val="0"/>
        <w:overflowPunct w:val="0"/>
        <w:ind w:left="1758" w:right="227"/>
        <w:jc w:val="both"/>
        <w:rPr>
          <w:color w:val="231F20"/>
          <w:sz w:val="20"/>
          <w:szCs w:val="20"/>
          <w:lang w:val="el-GR"/>
        </w:rPr>
      </w:pPr>
    </w:p>
    <w:p w14:paraId="5F1546FE" w14:textId="77777777" w:rsidR="009B701F" w:rsidRDefault="009B701F" w:rsidP="009B701F">
      <w:pPr>
        <w:pStyle w:val="a4"/>
        <w:kinsoku w:val="0"/>
        <w:overflowPunct w:val="0"/>
        <w:ind w:left="1758" w:right="227"/>
        <w:jc w:val="both"/>
        <w:rPr>
          <w:color w:val="231F20"/>
          <w:sz w:val="20"/>
          <w:szCs w:val="20"/>
          <w:lang w:val="el-GR"/>
        </w:rPr>
      </w:pPr>
      <w:r w:rsidRPr="00E13990">
        <w:rPr>
          <w:color w:val="231F20"/>
          <w:sz w:val="20"/>
          <w:szCs w:val="20"/>
          <w:lang w:val="el-GR"/>
        </w:rPr>
        <w:lastRenderedPageBreak/>
        <w:t>Αξίζει να σημειωθεί ότι</w:t>
      </w:r>
      <w:r>
        <w:rPr>
          <w:color w:val="231F20"/>
          <w:sz w:val="20"/>
          <w:szCs w:val="20"/>
          <w:lang w:val="el-GR"/>
        </w:rPr>
        <w:t>,</w:t>
      </w:r>
      <w:r w:rsidRPr="00E13990">
        <w:rPr>
          <w:color w:val="231F20"/>
          <w:sz w:val="20"/>
          <w:szCs w:val="20"/>
          <w:lang w:val="el-GR"/>
        </w:rPr>
        <w:t xml:space="preserve"> από τη δεκαετία του 1980, έχει αναπτυχθεί μια εκτεταμένη βιβλιογραφία για την υποστήριξη της καμπύλης ομολογιακών αποδόσεων ως αξιόπιστο</w:t>
      </w:r>
      <w:r>
        <w:rPr>
          <w:color w:val="231F20"/>
          <w:sz w:val="20"/>
          <w:szCs w:val="20"/>
          <w:lang w:val="el-GR"/>
        </w:rPr>
        <w:t>υ</w:t>
      </w:r>
      <w:r w:rsidRPr="00E13990">
        <w:rPr>
          <w:color w:val="231F20"/>
          <w:sz w:val="20"/>
          <w:szCs w:val="20"/>
          <w:lang w:val="el-GR"/>
        </w:rPr>
        <w:t xml:space="preserve"> προγνωστικ</w:t>
      </w:r>
      <w:r>
        <w:rPr>
          <w:color w:val="231F20"/>
          <w:sz w:val="20"/>
          <w:szCs w:val="20"/>
          <w:lang w:val="el-GR"/>
        </w:rPr>
        <w:t>ού</w:t>
      </w:r>
      <w:r w:rsidRPr="00E13990">
        <w:rPr>
          <w:color w:val="231F20"/>
          <w:sz w:val="20"/>
          <w:szCs w:val="20"/>
          <w:lang w:val="el-GR"/>
        </w:rPr>
        <w:t xml:space="preserve"> παράγοντα ύφεσης αλλά και της μελλοντικής οικονομικής δραστηριότητας, γενικότερα. Πράγματι, μελέτες έχουν συνδέσει την κλίση της καμπύλης αποδόσεων με επακόλουθες αλλαγές στο ΑΕΠ, την κατανάλωση, τη βιομηχανική παραγωγή και </w:t>
      </w:r>
      <w:r>
        <w:rPr>
          <w:color w:val="231F20"/>
          <w:sz w:val="20"/>
          <w:szCs w:val="20"/>
          <w:lang w:val="el-GR"/>
        </w:rPr>
        <w:t>σ</w:t>
      </w:r>
      <w:r w:rsidRPr="00E13990">
        <w:rPr>
          <w:color w:val="231F20"/>
          <w:sz w:val="20"/>
          <w:szCs w:val="20"/>
          <w:lang w:val="el-GR"/>
        </w:rPr>
        <w:t>τις επενδύσεις.</w:t>
      </w:r>
    </w:p>
    <w:p w14:paraId="4E515890" w14:textId="77777777" w:rsidR="009B701F" w:rsidRPr="00E13990" w:rsidRDefault="009B701F" w:rsidP="009B701F">
      <w:pPr>
        <w:pStyle w:val="a4"/>
        <w:kinsoku w:val="0"/>
        <w:overflowPunct w:val="0"/>
        <w:ind w:left="1758" w:right="227"/>
        <w:jc w:val="both"/>
        <w:rPr>
          <w:color w:val="231F20"/>
          <w:sz w:val="20"/>
          <w:szCs w:val="20"/>
          <w:lang w:val="el-GR"/>
        </w:rPr>
      </w:pPr>
    </w:p>
    <w:p w14:paraId="21BF616F" w14:textId="0865C239" w:rsidR="009B701F" w:rsidRDefault="009B701F" w:rsidP="009B701F">
      <w:pPr>
        <w:pStyle w:val="a4"/>
        <w:kinsoku w:val="0"/>
        <w:overflowPunct w:val="0"/>
        <w:ind w:left="1758" w:right="227"/>
        <w:jc w:val="both"/>
        <w:rPr>
          <w:color w:val="231F20"/>
          <w:sz w:val="20"/>
          <w:szCs w:val="20"/>
          <w:lang w:val="el-GR"/>
        </w:rPr>
      </w:pPr>
      <w:r w:rsidRPr="00E13990">
        <w:rPr>
          <w:color w:val="231F20"/>
          <w:sz w:val="20"/>
          <w:szCs w:val="20"/>
          <w:lang w:val="el-GR"/>
        </w:rPr>
        <w:t>H ομοσπονδιακή τράπεζα της Νέας Υόρκης χρησιμοποιεί</w:t>
      </w:r>
      <w:r>
        <w:rPr>
          <w:color w:val="231F20"/>
          <w:sz w:val="20"/>
          <w:szCs w:val="20"/>
          <w:lang w:val="el-GR"/>
        </w:rPr>
        <w:t xml:space="preserve"> τ</w:t>
      </w:r>
      <w:r w:rsidRPr="00E13990">
        <w:rPr>
          <w:color w:val="231F20"/>
          <w:sz w:val="20"/>
          <w:szCs w:val="20"/>
          <w:lang w:val="el-GR"/>
        </w:rPr>
        <w:t xml:space="preserve">η διαφορά των αποδόσεων μεταξύ βραχυπρόθεσμων κρατικών τίτλων και μακροπρόθεσμων κρατικών ομολόγων ως ένα </w:t>
      </w:r>
      <w:r w:rsidR="005A04C9" w:rsidRPr="005A04C9">
        <w:rPr>
          <w:color w:val="231F20"/>
          <w:sz w:val="20"/>
          <w:szCs w:val="20"/>
          <w:lang w:val="el-GR"/>
        </w:rPr>
        <w:t xml:space="preserve">πρόδρομο </w:t>
      </w:r>
      <w:r w:rsidRPr="00E13990">
        <w:rPr>
          <w:color w:val="231F20"/>
          <w:sz w:val="20"/>
          <w:szCs w:val="20"/>
          <w:lang w:val="el-GR"/>
        </w:rPr>
        <w:t>δείκτη (</w:t>
      </w:r>
      <w:proofErr w:type="spellStart"/>
      <w:r w:rsidRPr="00E13990">
        <w:rPr>
          <w:color w:val="231F20"/>
          <w:sz w:val="20"/>
          <w:szCs w:val="20"/>
          <w:lang w:val="el-GR"/>
        </w:rPr>
        <w:t>leading</w:t>
      </w:r>
      <w:proofErr w:type="spellEnd"/>
      <w:r w:rsidRPr="00E13990">
        <w:rPr>
          <w:color w:val="231F20"/>
          <w:sz w:val="20"/>
          <w:szCs w:val="20"/>
          <w:lang w:val="el-GR"/>
        </w:rPr>
        <w:t xml:space="preserve"> </w:t>
      </w:r>
      <w:proofErr w:type="spellStart"/>
      <w:r w:rsidRPr="00E13990">
        <w:rPr>
          <w:color w:val="231F20"/>
          <w:sz w:val="20"/>
          <w:szCs w:val="20"/>
          <w:lang w:val="el-GR"/>
        </w:rPr>
        <w:t>indicator</w:t>
      </w:r>
      <w:proofErr w:type="spellEnd"/>
      <w:r w:rsidRPr="00E13990">
        <w:rPr>
          <w:color w:val="231F20"/>
          <w:sz w:val="20"/>
          <w:szCs w:val="20"/>
          <w:lang w:val="el-GR"/>
        </w:rPr>
        <w:t xml:space="preserve">) της οικονομικής </w:t>
      </w:r>
      <w:r w:rsidRPr="004B485D">
        <w:rPr>
          <w:color w:val="231F20"/>
          <w:sz w:val="20"/>
          <w:szCs w:val="20"/>
          <w:lang w:val="el-GR"/>
        </w:rPr>
        <w:t>μεγέθυνσης</w:t>
      </w:r>
      <w:r w:rsidRPr="00E13990">
        <w:rPr>
          <w:color w:val="231F20"/>
          <w:sz w:val="20"/>
          <w:szCs w:val="20"/>
          <w:lang w:val="el-GR"/>
        </w:rPr>
        <w:t>. Ο γενικός κανόνας είναι ότι μια ανεστραμμένη καμπύλη αποδόσεων (</w:t>
      </w:r>
      <w:r>
        <w:rPr>
          <w:color w:val="231F20"/>
          <w:sz w:val="20"/>
          <w:szCs w:val="20"/>
          <w:lang w:val="el-GR"/>
        </w:rPr>
        <w:t xml:space="preserve">όταν δηλαδή </w:t>
      </w:r>
      <w:r w:rsidRPr="00E13990">
        <w:rPr>
          <w:color w:val="231F20"/>
          <w:sz w:val="20"/>
          <w:szCs w:val="20"/>
          <w:lang w:val="el-GR"/>
        </w:rPr>
        <w:t>οι βραχυπρόθεσμες αποδόσεις είναι υψηλότερες των μακροχρόνιων) υποδηλώνει την εμφάνιση οικονομικής ύφεσης σε περίπου ένα χρόνο. Γενικότερα, μια επίπεδη καμπύλη υποδηλώνει αδύναμη μεγέθυνση, ενώ μια απότομη</w:t>
      </w:r>
      <w:r>
        <w:rPr>
          <w:color w:val="231F20"/>
          <w:sz w:val="20"/>
          <w:szCs w:val="20"/>
          <w:lang w:val="el-GR"/>
        </w:rPr>
        <w:t>,</w:t>
      </w:r>
      <w:r w:rsidRPr="00E13990">
        <w:rPr>
          <w:color w:val="231F20"/>
          <w:sz w:val="20"/>
          <w:szCs w:val="20"/>
          <w:lang w:val="el-GR"/>
        </w:rPr>
        <w:t xml:space="preserve"> </w:t>
      </w:r>
      <w:r>
        <w:rPr>
          <w:color w:val="231F20"/>
          <w:sz w:val="20"/>
          <w:szCs w:val="20"/>
          <w:lang w:val="el-GR"/>
        </w:rPr>
        <w:t xml:space="preserve">θετικώς κεκλιμένη </w:t>
      </w:r>
      <w:r w:rsidRPr="00E13990">
        <w:rPr>
          <w:color w:val="231F20"/>
          <w:sz w:val="20"/>
          <w:szCs w:val="20"/>
          <w:lang w:val="el-GR"/>
        </w:rPr>
        <w:t>καμπύλη</w:t>
      </w:r>
      <w:r>
        <w:rPr>
          <w:color w:val="231F20"/>
          <w:sz w:val="20"/>
          <w:szCs w:val="20"/>
          <w:lang w:val="el-GR"/>
        </w:rPr>
        <w:t xml:space="preserve"> συνδέεται με προσδοκίες για  ι</w:t>
      </w:r>
      <w:r w:rsidRPr="00E13990">
        <w:rPr>
          <w:color w:val="231F20"/>
          <w:sz w:val="20"/>
          <w:szCs w:val="20"/>
          <w:lang w:val="el-GR"/>
        </w:rPr>
        <w:t>σχυρή μεγέθυνση. Ένα μέτρο της κλίσης αποτελεί η διαφορά μεταξύ του 10ετούς κρατικού ομολόγου και του τριμηνιαίου εντόκου γραμματίου (</w:t>
      </w:r>
      <w:r>
        <w:rPr>
          <w:color w:val="231F20"/>
          <w:sz w:val="20"/>
          <w:szCs w:val="20"/>
          <w:lang w:val="el-GR"/>
        </w:rPr>
        <w:t>Γ</w:t>
      </w:r>
      <w:r w:rsidRPr="00E13990">
        <w:rPr>
          <w:color w:val="231F20"/>
          <w:sz w:val="20"/>
          <w:szCs w:val="20"/>
          <w:lang w:val="el-GR"/>
        </w:rPr>
        <w:t xml:space="preserve">ράφημα </w:t>
      </w:r>
      <w:r>
        <w:rPr>
          <w:color w:val="231F20"/>
          <w:sz w:val="20"/>
          <w:szCs w:val="20"/>
          <w:lang w:val="el-GR"/>
        </w:rPr>
        <w:t>6</w:t>
      </w:r>
      <w:r w:rsidRPr="00E13990">
        <w:rPr>
          <w:color w:val="231F20"/>
          <w:sz w:val="20"/>
          <w:szCs w:val="20"/>
          <w:lang w:val="el-GR"/>
        </w:rPr>
        <w:t xml:space="preserve">). </w:t>
      </w:r>
      <w:r w:rsidRPr="001A610F">
        <w:rPr>
          <w:color w:val="231F20"/>
          <w:sz w:val="20"/>
          <w:szCs w:val="20"/>
          <w:lang w:val="el-GR"/>
        </w:rPr>
        <w:t>Όταν</w:t>
      </w:r>
      <w:r>
        <w:rPr>
          <w:color w:val="231F20"/>
          <w:sz w:val="20"/>
          <w:szCs w:val="20"/>
          <w:lang w:val="el-GR"/>
        </w:rPr>
        <w:t xml:space="preserve"> </w:t>
      </w:r>
      <w:r w:rsidRPr="001A610F">
        <w:rPr>
          <w:color w:val="231F20"/>
          <w:sz w:val="20"/>
          <w:szCs w:val="20"/>
          <w:lang w:val="el-GR"/>
        </w:rPr>
        <w:t>παρατηρείται μ</w:t>
      </w:r>
      <w:r>
        <w:rPr>
          <w:color w:val="231F20"/>
          <w:sz w:val="20"/>
          <w:szCs w:val="20"/>
          <w:lang w:val="el-GR"/>
        </w:rPr>
        <w:t>ι</w:t>
      </w:r>
      <w:r w:rsidRPr="001A610F">
        <w:rPr>
          <w:color w:val="231F20"/>
          <w:sz w:val="20"/>
          <w:szCs w:val="20"/>
          <w:lang w:val="el-GR"/>
        </w:rPr>
        <w:t>α</w:t>
      </w:r>
      <w:r>
        <w:rPr>
          <w:color w:val="231F20"/>
          <w:sz w:val="20"/>
          <w:szCs w:val="20"/>
          <w:lang w:val="el-GR"/>
        </w:rPr>
        <w:t xml:space="preserve"> </w:t>
      </w:r>
      <w:r w:rsidRPr="001A610F">
        <w:rPr>
          <w:color w:val="231F20"/>
          <w:sz w:val="20"/>
          <w:szCs w:val="20"/>
          <w:lang w:val="el-GR"/>
        </w:rPr>
        <w:t xml:space="preserve">αύξηση των μακροπρόθεσμων ομολογιακών αποδόσεων </w:t>
      </w:r>
      <w:r>
        <w:rPr>
          <w:color w:val="231F20"/>
          <w:sz w:val="20"/>
          <w:szCs w:val="20"/>
          <w:lang w:val="el-GR"/>
        </w:rPr>
        <w:t>-</w:t>
      </w:r>
      <w:r w:rsidRPr="001A610F">
        <w:rPr>
          <w:color w:val="231F20"/>
          <w:sz w:val="20"/>
          <w:szCs w:val="20"/>
          <w:lang w:val="el-GR"/>
        </w:rPr>
        <w:t>όπως προσφάτως</w:t>
      </w:r>
      <w:r>
        <w:rPr>
          <w:color w:val="231F20"/>
          <w:sz w:val="20"/>
          <w:szCs w:val="20"/>
          <w:lang w:val="el-GR"/>
        </w:rPr>
        <w:t>-</w:t>
      </w:r>
      <w:r w:rsidRPr="001A610F">
        <w:rPr>
          <w:color w:val="231F20"/>
          <w:sz w:val="20"/>
          <w:szCs w:val="20"/>
          <w:lang w:val="el-GR"/>
        </w:rPr>
        <w:t xml:space="preserve"> οι συμμετέχοντες στις αγορές προσδοκούν ότι η οικονομική δραστηριότητα θα επιστρέψει  σε κάποια ομαλότητα τα επόμενα χρόνια</w:t>
      </w:r>
      <w:r w:rsidRPr="00E13990">
        <w:rPr>
          <w:color w:val="231F20"/>
          <w:sz w:val="20"/>
          <w:szCs w:val="20"/>
          <w:lang w:val="el-GR"/>
        </w:rPr>
        <w:t xml:space="preserve">. </w:t>
      </w:r>
      <w:r>
        <w:rPr>
          <w:color w:val="231F20"/>
          <w:sz w:val="20"/>
          <w:szCs w:val="20"/>
          <w:lang w:val="el-GR"/>
        </w:rPr>
        <w:t>Όμως,</w:t>
      </w:r>
      <w:r w:rsidRPr="00E13990">
        <w:rPr>
          <w:color w:val="231F20"/>
          <w:sz w:val="20"/>
          <w:szCs w:val="20"/>
          <w:lang w:val="el-GR"/>
        </w:rPr>
        <w:t xml:space="preserve"> πότε θα υπάρξει η επιστροφή στην κανονικότητα είναι ακόμα ασαφές. Οι αποδόσεις των 2ετών κρατικών ομολόγων, οι οποίες θεωρούνται ότι αποτυπώνουν την οικονομική μεγέθυνση σε πραγματικό χρόνο, άρχισαν να σημειώνουν άνοδο μόλις τους τελευταίους τρεις μήνες, γεγονός που υποδηλώνει ότι είναι μακρύς ο δρόμος της επιστροφής στην κανονικότητα. Χαρακτηριστικά αναφέρεται ότι η απόδοση του 2ετούς κρατικού ομολόγου στις ΗΠΑ διαμορφωνόταν</w:t>
      </w:r>
      <w:r>
        <w:rPr>
          <w:color w:val="231F20"/>
          <w:sz w:val="20"/>
          <w:szCs w:val="20"/>
          <w:lang w:val="el-GR"/>
        </w:rPr>
        <w:t>,</w:t>
      </w:r>
      <w:r w:rsidRPr="00E13990">
        <w:rPr>
          <w:color w:val="231F20"/>
          <w:sz w:val="20"/>
          <w:szCs w:val="20"/>
          <w:lang w:val="el-GR"/>
        </w:rPr>
        <w:t xml:space="preserve"> στις 17 Μαΐου 2021</w:t>
      </w:r>
      <w:r>
        <w:rPr>
          <w:color w:val="231F20"/>
          <w:sz w:val="20"/>
          <w:szCs w:val="20"/>
          <w:lang w:val="el-GR"/>
        </w:rPr>
        <w:t>,</w:t>
      </w:r>
      <w:r w:rsidRPr="00E13990">
        <w:rPr>
          <w:color w:val="231F20"/>
          <w:sz w:val="20"/>
          <w:szCs w:val="20"/>
          <w:lang w:val="el-GR"/>
        </w:rPr>
        <w:t xml:space="preserve"> σε 0,15%</w:t>
      </w:r>
      <w:r>
        <w:rPr>
          <w:color w:val="231F20"/>
          <w:sz w:val="20"/>
          <w:szCs w:val="20"/>
          <w:lang w:val="el-GR"/>
        </w:rPr>
        <w:t>,</w:t>
      </w:r>
      <w:r w:rsidRPr="00E13990">
        <w:rPr>
          <w:color w:val="231F20"/>
          <w:sz w:val="20"/>
          <w:szCs w:val="20"/>
          <w:lang w:val="el-GR"/>
        </w:rPr>
        <w:t xml:space="preserve"> από 0,12%</w:t>
      </w:r>
      <w:r>
        <w:rPr>
          <w:color w:val="231F20"/>
          <w:sz w:val="20"/>
          <w:szCs w:val="20"/>
          <w:lang w:val="el-GR"/>
        </w:rPr>
        <w:t>,</w:t>
      </w:r>
      <w:r w:rsidRPr="00E13990">
        <w:rPr>
          <w:color w:val="231F20"/>
          <w:sz w:val="20"/>
          <w:szCs w:val="20"/>
          <w:lang w:val="el-GR"/>
        </w:rPr>
        <w:t xml:space="preserve"> στις 31 Δεκεμβρίου 2020.</w:t>
      </w:r>
    </w:p>
    <w:p w14:paraId="46099FFD" w14:textId="77777777" w:rsidR="009B701F" w:rsidRDefault="009B701F" w:rsidP="009B701F">
      <w:pPr>
        <w:pStyle w:val="a4"/>
        <w:kinsoku w:val="0"/>
        <w:overflowPunct w:val="0"/>
        <w:ind w:left="1758" w:right="227"/>
        <w:jc w:val="both"/>
        <w:rPr>
          <w:color w:val="231F20"/>
          <w:sz w:val="20"/>
          <w:szCs w:val="20"/>
          <w:lang w:val="el-GR"/>
        </w:rPr>
      </w:pPr>
    </w:p>
    <w:p w14:paraId="7A4B7D61" w14:textId="77777777" w:rsidR="009B701F" w:rsidRPr="0096387E" w:rsidRDefault="009B701F" w:rsidP="009B701F">
      <w:pPr>
        <w:pStyle w:val="a4"/>
        <w:kinsoku w:val="0"/>
        <w:overflowPunct w:val="0"/>
        <w:ind w:left="1758" w:right="227"/>
        <w:jc w:val="both"/>
        <w:rPr>
          <w:b/>
          <w:bCs/>
          <w:color w:val="231F20"/>
          <w:sz w:val="20"/>
          <w:szCs w:val="20"/>
          <w:lang w:val="el-GR"/>
        </w:rPr>
      </w:pPr>
      <w:r>
        <w:rPr>
          <w:b/>
          <w:bCs/>
          <w:color w:val="231F20"/>
          <w:sz w:val="20"/>
          <w:szCs w:val="20"/>
          <w:lang w:val="el-GR"/>
        </w:rPr>
        <w:t>Ο</w:t>
      </w:r>
      <w:r w:rsidRPr="00BB07A3">
        <w:rPr>
          <w:b/>
          <w:bCs/>
          <w:color w:val="231F20"/>
          <w:sz w:val="20"/>
          <w:szCs w:val="20"/>
          <w:lang w:val="el-GR"/>
        </w:rPr>
        <w:t xml:space="preserve"> πληθωρισμό</w:t>
      </w:r>
      <w:r>
        <w:rPr>
          <w:b/>
          <w:bCs/>
          <w:color w:val="231F20"/>
          <w:sz w:val="20"/>
          <w:szCs w:val="20"/>
          <w:lang w:val="el-GR"/>
        </w:rPr>
        <w:t>ς υπό παρακολούθηση</w:t>
      </w:r>
    </w:p>
    <w:p w14:paraId="3D15F597" w14:textId="77777777" w:rsidR="009B701F" w:rsidRPr="00BB07A3" w:rsidRDefault="009B701F" w:rsidP="009B701F">
      <w:pPr>
        <w:pStyle w:val="a4"/>
        <w:kinsoku w:val="0"/>
        <w:overflowPunct w:val="0"/>
        <w:ind w:left="1758" w:right="227"/>
        <w:jc w:val="both"/>
        <w:rPr>
          <w:color w:val="231F20"/>
          <w:sz w:val="20"/>
          <w:szCs w:val="20"/>
          <w:lang w:val="el-GR"/>
        </w:rPr>
      </w:pPr>
    </w:p>
    <w:p w14:paraId="0E7B655F" w14:textId="3F7848F8" w:rsidR="009B701F" w:rsidRDefault="009B701F" w:rsidP="009B701F">
      <w:pPr>
        <w:pStyle w:val="a4"/>
        <w:kinsoku w:val="0"/>
        <w:overflowPunct w:val="0"/>
        <w:ind w:left="1758" w:right="227"/>
        <w:jc w:val="both"/>
        <w:rPr>
          <w:color w:val="231F20"/>
          <w:sz w:val="20"/>
          <w:szCs w:val="20"/>
          <w:lang w:val="el-GR"/>
        </w:rPr>
      </w:pPr>
      <w:r w:rsidRPr="00E13990">
        <w:rPr>
          <w:color w:val="231F20"/>
          <w:sz w:val="20"/>
          <w:szCs w:val="20"/>
          <w:lang w:val="el-GR"/>
        </w:rPr>
        <w:t>Οι μακροπρόθεσμες αποδόσεις σταθερού εισοδήματος</w:t>
      </w:r>
      <w:r>
        <w:rPr>
          <w:color w:val="231F20"/>
          <w:sz w:val="20"/>
          <w:szCs w:val="20"/>
          <w:lang w:val="el-GR"/>
        </w:rPr>
        <w:t>,</w:t>
      </w:r>
      <w:r w:rsidRPr="00E13990">
        <w:rPr>
          <w:color w:val="231F20"/>
          <w:sz w:val="20"/>
          <w:szCs w:val="20"/>
          <w:lang w:val="el-GR"/>
        </w:rPr>
        <w:t xml:space="preserve"> συνήθως</w:t>
      </w:r>
      <w:r>
        <w:rPr>
          <w:color w:val="231F20"/>
          <w:sz w:val="20"/>
          <w:szCs w:val="20"/>
          <w:lang w:val="el-GR"/>
        </w:rPr>
        <w:t>,</w:t>
      </w:r>
      <w:r w:rsidRPr="00E13990">
        <w:rPr>
          <w:color w:val="231F20"/>
          <w:sz w:val="20"/>
          <w:szCs w:val="20"/>
          <w:lang w:val="el-GR"/>
        </w:rPr>
        <w:t xml:space="preserve"> αυξάνονται με τον πληθωρισμό. Εάν οι συμμετέχοντες στις αγορές πιστεύουν ότι ο πληθωρισμός θα αυξηθεί πολύ γρήγορα, οι αποδόσεις των ομολόγων θα αυξηθούν </w:t>
      </w:r>
      <w:r w:rsidR="0043090E">
        <w:rPr>
          <w:color w:val="231F20"/>
          <w:sz w:val="20"/>
          <w:szCs w:val="20"/>
          <w:lang w:val="el-GR"/>
        </w:rPr>
        <w:t xml:space="preserve">επίσης </w:t>
      </w:r>
      <w:r w:rsidR="0043090E" w:rsidRPr="0043090E">
        <w:rPr>
          <w:color w:val="231F20"/>
          <w:sz w:val="20"/>
          <w:szCs w:val="20"/>
          <w:lang w:val="el-GR"/>
        </w:rPr>
        <w:t>(ενώ οι τιμές θα μειωθούν)</w:t>
      </w:r>
      <w:r w:rsidRPr="00E13990">
        <w:rPr>
          <w:color w:val="231F20"/>
          <w:sz w:val="20"/>
          <w:szCs w:val="20"/>
          <w:lang w:val="el-GR"/>
        </w:rPr>
        <w:t xml:space="preserve">, καθώς οι συμμετέχοντες θα θελήσουν να καλυφθούν </w:t>
      </w:r>
      <w:r>
        <w:rPr>
          <w:color w:val="231F20"/>
          <w:sz w:val="20"/>
          <w:szCs w:val="20"/>
          <w:lang w:val="el-GR"/>
        </w:rPr>
        <w:t>για</w:t>
      </w:r>
      <w:r w:rsidRPr="00E13990">
        <w:rPr>
          <w:color w:val="231F20"/>
          <w:sz w:val="20"/>
          <w:szCs w:val="20"/>
          <w:lang w:val="el-GR"/>
        </w:rPr>
        <w:t xml:space="preserve"> τις απώλειες που προκαλεί ο πληθωρισμός. Η ομοσπονδιακή τράπεζα των ΗΠΑ στοχεύει σε ένα μακροπρόθεσμο μέσο ετήσιο όρο πληθωρισμού 2%</w:t>
      </w:r>
      <w:r>
        <w:rPr>
          <w:color w:val="231F20"/>
          <w:sz w:val="20"/>
          <w:szCs w:val="20"/>
          <w:lang w:val="el-GR"/>
        </w:rPr>
        <w:t>,</w:t>
      </w:r>
      <w:r w:rsidRPr="00E13990">
        <w:rPr>
          <w:color w:val="231F20"/>
          <w:sz w:val="20"/>
          <w:szCs w:val="20"/>
          <w:lang w:val="el-GR"/>
        </w:rPr>
        <w:t xml:space="preserve"> ενώ η Ευρωπαϊκή Κεντρική Τράπεζα (ΕΚΤ) στοχεύει μεσοπρόθεσμα σε ετήσιο ρυθμό πληθωρισμού κάτω, αλλά κοντά</w:t>
      </w:r>
      <w:r>
        <w:rPr>
          <w:color w:val="231F20"/>
          <w:sz w:val="20"/>
          <w:szCs w:val="20"/>
          <w:lang w:val="el-GR"/>
        </w:rPr>
        <w:t>,</w:t>
      </w:r>
      <w:r w:rsidRPr="00E13990">
        <w:rPr>
          <w:color w:val="231F20"/>
          <w:sz w:val="20"/>
          <w:szCs w:val="20"/>
          <w:lang w:val="el-GR"/>
        </w:rPr>
        <w:t xml:space="preserve"> στο 2%. </w:t>
      </w:r>
    </w:p>
    <w:p w14:paraId="2EEC93E0" w14:textId="77777777" w:rsidR="009B701F" w:rsidRPr="00E13990" w:rsidRDefault="009B701F" w:rsidP="009B701F">
      <w:pPr>
        <w:pStyle w:val="a4"/>
        <w:kinsoku w:val="0"/>
        <w:overflowPunct w:val="0"/>
        <w:ind w:left="1758" w:right="227"/>
        <w:jc w:val="both"/>
        <w:rPr>
          <w:color w:val="231F20"/>
          <w:sz w:val="20"/>
          <w:szCs w:val="20"/>
          <w:lang w:val="el-GR"/>
        </w:rPr>
      </w:pPr>
    </w:p>
    <w:p w14:paraId="44F1D237" w14:textId="77777777" w:rsidR="009B701F" w:rsidRDefault="009B701F" w:rsidP="009B701F">
      <w:pPr>
        <w:pStyle w:val="a4"/>
        <w:kinsoku w:val="0"/>
        <w:overflowPunct w:val="0"/>
        <w:ind w:left="1758" w:right="227"/>
        <w:jc w:val="both"/>
        <w:rPr>
          <w:color w:val="231F20"/>
          <w:sz w:val="20"/>
          <w:szCs w:val="20"/>
          <w:lang w:val="el-GR"/>
        </w:rPr>
      </w:pPr>
      <w:r w:rsidRPr="00E13990">
        <w:rPr>
          <w:color w:val="231F20"/>
          <w:sz w:val="20"/>
          <w:szCs w:val="20"/>
          <w:lang w:val="el-GR"/>
        </w:rPr>
        <w:t>Γενικότερα, υπάρχει μια ανησυχία ότι καθώς οι καταναλωτές αρχίζουν να αυξάνουν τις δαπάνες τους και καθώς η αγορά εργασίας ανακάμπτει, οι τιμές θα μπορούσαν να αρχίσουν να ενισχύονται ταχύτερα. Υπάρχει</w:t>
      </w:r>
      <w:r>
        <w:rPr>
          <w:color w:val="231F20"/>
          <w:sz w:val="20"/>
          <w:szCs w:val="20"/>
          <w:lang w:val="el-GR"/>
        </w:rPr>
        <w:t>,</w:t>
      </w:r>
      <w:r w:rsidRPr="00E13990">
        <w:rPr>
          <w:color w:val="231F20"/>
          <w:sz w:val="20"/>
          <w:szCs w:val="20"/>
          <w:lang w:val="el-GR"/>
        </w:rPr>
        <w:t xml:space="preserve"> </w:t>
      </w:r>
      <w:r>
        <w:rPr>
          <w:color w:val="231F20"/>
          <w:sz w:val="20"/>
          <w:szCs w:val="20"/>
          <w:lang w:val="el-GR"/>
        </w:rPr>
        <w:t>επίσης,</w:t>
      </w:r>
      <w:r w:rsidRPr="00E13990">
        <w:rPr>
          <w:color w:val="231F20"/>
          <w:sz w:val="20"/>
          <w:szCs w:val="20"/>
          <w:lang w:val="el-GR"/>
        </w:rPr>
        <w:t xml:space="preserve"> η άποψη ότι οι υπερβολικές κρατικές δαπάνες</w:t>
      </w:r>
      <w:r>
        <w:rPr>
          <w:color w:val="231F20"/>
          <w:sz w:val="20"/>
          <w:szCs w:val="20"/>
          <w:lang w:val="el-GR"/>
        </w:rPr>
        <w:t>,</w:t>
      </w:r>
      <w:r w:rsidRPr="00E13990">
        <w:rPr>
          <w:color w:val="231F20"/>
          <w:sz w:val="20"/>
          <w:szCs w:val="20"/>
          <w:lang w:val="el-GR"/>
        </w:rPr>
        <w:t xml:space="preserve"> σε πολλές από τις σημαντικότερες οικονομίες, θα μπορούσαν να οδηγήσουν σε υψηλότερο πληθωρισμό, επειδή μπορεί να αυξήσουν το κόστος παραγωγής, το οποίο με τη σειρά του θα μπορούσε να </w:t>
      </w:r>
      <w:proofErr w:type="spellStart"/>
      <w:r w:rsidRPr="00E13990">
        <w:rPr>
          <w:color w:val="231F20"/>
          <w:sz w:val="20"/>
          <w:szCs w:val="20"/>
          <w:lang w:val="el-GR"/>
        </w:rPr>
        <w:t>μετακυλ</w:t>
      </w:r>
      <w:r>
        <w:rPr>
          <w:color w:val="231F20"/>
          <w:sz w:val="20"/>
          <w:szCs w:val="20"/>
          <w:lang w:val="el-GR"/>
        </w:rPr>
        <w:t>ιστεί</w:t>
      </w:r>
      <w:proofErr w:type="spellEnd"/>
      <w:r w:rsidRPr="00E13990">
        <w:rPr>
          <w:color w:val="231F20"/>
          <w:sz w:val="20"/>
          <w:szCs w:val="20"/>
          <w:lang w:val="el-GR"/>
        </w:rPr>
        <w:t xml:space="preserve"> στις τιμές. Οι ανησυχίες των συμμετεχόντων στις αγορές εντάθηκαν</w:t>
      </w:r>
      <w:r>
        <w:rPr>
          <w:color w:val="231F20"/>
          <w:sz w:val="20"/>
          <w:szCs w:val="20"/>
          <w:lang w:val="el-GR"/>
        </w:rPr>
        <w:t>,</w:t>
      </w:r>
      <w:r w:rsidRPr="00E13990">
        <w:rPr>
          <w:color w:val="231F20"/>
          <w:sz w:val="20"/>
          <w:szCs w:val="20"/>
          <w:lang w:val="el-GR"/>
        </w:rPr>
        <w:t xml:space="preserve"> κυρίως</w:t>
      </w:r>
      <w:r>
        <w:rPr>
          <w:color w:val="231F20"/>
          <w:sz w:val="20"/>
          <w:szCs w:val="20"/>
          <w:lang w:val="el-GR"/>
        </w:rPr>
        <w:t>,</w:t>
      </w:r>
      <w:r w:rsidRPr="00E13990">
        <w:rPr>
          <w:color w:val="231F20"/>
          <w:sz w:val="20"/>
          <w:szCs w:val="20"/>
          <w:lang w:val="el-GR"/>
        </w:rPr>
        <w:t xml:space="preserve"> μετά την ανακοίνωση ότι ο πληθωρισμός στις ΗΠΑ</w:t>
      </w:r>
      <w:r>
        <w:rPr>
          <w:color w:val="231F20"/>
          <w:sz w:val="20"/>
          <w:szCs w:val="20"/>
          <w:lang w:val="el-GR"/>
        </w:rPr>
        <w:t>,</w:t>
      </w:r>
      <w:r w:rsidRPr="00E13990">
        <w:rPr>
          <w:color w:val="231F20"/>
          <w:sz w:val="20"/>
          <w:szCs w:val="20"/>
          <w:lang w:val="el-GR"/>
        </w:rPr>
        <w:t xml:space="preserve"> τον Απρίλιο</w:t>
      </w:r>
      <w:r>
        <w:rPr>
          <w:color w:val="231F20"/>
          <w:sz w:val="20"/>
          <w:szCs w:val="20"/>
          <w:lang w:val="el-GR"/>
        </w:rPr>
        <w:t>,</w:t>
      </w:r>
      <w:r w:rsidRPr="00E13990">
        <w:rPr>
          <w:color w:val="231F20"/>
          <w:sz w:val="20"/>
          <w:szCs w:val="20"/>
          <w:lang w:val="el-GR"/>
        </w:rPr>
        <w:t xml:space="preserve"> αυξήθηκε κατά 4,2% (ετήσια μεταβολή), ήτοι ο υψηλότερος ρυθμός από τον Σεπτέμβριο 2008. Ωστόσο, η μεταβολή είναι δικαιολογημένη από το γεγονός ότι υπήρξε χαμηλή μέτρηση</w:t>
      </w:r>
      <w:r>
        <w:rPr>
          <w:color w:val="231F20"/>
          <w:sz w:val="20"/>
          <w:szCs w:val="20"/>
          <w:lang w:val="el-GR"/>
        </w:rPr>
        <w:t>,</w:t>
      </w:r>
      <w:r w:rsidRPr="00E13990">
        <w:rPr>
          <w:color w:val="231F20"/>
          <w:sz w:val="20"/>
          <w:szCs w:val="20"/>
          <w:lang w:val="el-GR"/>
        </w:rPr>
        <w:t xml:space="preserve"> στην αντίστοιχη περίοδο του περασμένου έτους. Η </w:t>
      </w:r>
      <w:proofErr w:type="spellStart"/>
      <w:r w:rsidRPr="00E13990">
        <w:rPr>
          <w:color w:val="231F20"/>
          <w:sz w:val="20"/>
          <w:szCs w:val="20"/>
          <w:lang w:val="el-GR"/>
        </w:rPr>
        <w:t>Fed</w:t>
      </w:r>
      <w:proofErr w:type="spellEnd"/>
      <w:r w:rsidRPr="00E13990">
        <w:rPr>
          <w:color w:val="231F20"/>
          <w:sz w:val="20"/>
          <w:szCs w:val="20"/>
          <w:lang w:val="el-GR"/>
        </w:rPr>
        <w:t xml:space="preserve"> έχει προειδοποιήσει ότι θα υπάρξει μια σύντομη περίοδος υψηλού πληθωρισμού, αλλά το άλμα του πληθωρισμού θα είναι παροδικό. Όμως, ένα τμήμα των συμμετεχόντων στις αγορές ανησυχεί ότι ο πληθωρισμός θα μπορούσε να διατηρηθεί σε υψηλά επίπεδα για ένα μακρό χρονικό διάστημα και η </w:t>
      </w:r>
      <w:proofErr w:type="spellStart"/>
      <w:r w:rsidRPr="00E13990">
        <w:rPr>
          <w:color w:val="231F20"/>
          <w:sz w:val="20"/>
          <w:szCs w:val="20"/>
          <w:lang w:val="el-GR"/>
        </w:rPr>
        <w:t>Fed</w:t>
      </w:r>
      <w:proofErr w:type="spellEnd"/>
      <w:r w:rsidRPr="00E13990">
        <w:rPr>
          <w:color w:val="231F20"/>
          <w:sz w:val="20"/>
          <w:szCs w:val="20"/>
          <w:lang w:val="el-GR"/>
        </w:rPr>
        <w:t xml:space="preserve"> να αναγκαστεί να αυξήσει τα επιτόκι</w:t>
      </w:r>
      <w:r>
        <w:rPr>
          <w:color w:val="231F20"/>
          <w:sz w:val="20"/>
          <w:szCs w:val="20"/>
          <w:lang w:val="el-GR"/>
        </w:rPr>
        <w:t>ά</w:t>
      </w:r>
      <w:r w:rsidRPr="00E13990">
        <w:rPr>
          <w:color w:val="231F20"/>
          <w:sz w:val="20"/>
          <w:szCs w:val="20"/>
          <w:lang w:val="el-GR"/>
        </w:rPr>
        <w:t xml:space="preserve"> της. Στην περίπτωση που ο πληθωρισμός διατηρηθεί σε υψηλά επίπεδα, ενδεχομένως</w:t>
      </w:r>
      <w:r>
        <w:rPr>
          <w:color w:val="231F20"/>
          <w:sz w:val="20"/>
          <w:szCs w:val="20"/>
          <w:lang w:val="el-GR"/>
        </w:rPr>
        <w:t>,</w:t>
      </w:r>
      <w:r w:rsidRPr="00E13990">
        <w:rPr>
          <w:color w:val="231F20"/>
          <w:sz w:val="20"/>
          <w:szCs w:val="20"/>
          <w:lang w:val="el-GR"/>
        </w:rPr>
        <w:t xml:space="preserve"> η ομοσπονδιακή τράπεζα των ΗΠΑ να απαιτηθεί να επανεκτιμήσει τον παροδικό χαρακτήρα της πληθωριστικής έξαρσης και τις επιπτώσεις του.</w:t>
      </w:r>
    </w:p>
    <w:p w14:paraId="0C1A59A8" w14:textId="77777777" w:rsidR="009B701F" w:rsidRDefault="009B701F" w:rsidP="009B701F">
      <w:pPr>
        <w:pStyle w:val="a4"/>
        <w:kinsoku w:val="0"/>
        <w:overflowPunct w:val="0"/>
        <w:ind w:left="1758" w:right="227"/>
        <w:jc w:val="both"/>
        <w:rPr>
          <w:color w:val="231F20"/>
          <w:sz w:val="20"/>
          <w:szCs w:val="20"/>
          <w:lang w:val="el-GR"/>
        </w:rPr>
      </w:pPr>
    </w:p>
    <w:p w14:paraId="69EE350E" w14:textId="77777777" w:rsidR="009B701F" w:rsidRDefault="009B701F" w:rsidP="009B701F">
      <w:pPr>
        <w:pStyle w:val="a4"/>
        <w:kinsoku w:val="0"/>
        <w:overflowPunct w:val="0"/>
        <w:ind w:left="1758" w:right="227"/>
        <w:jc w:val="both"/>
        <w:rPr>
          <w:b/>
          <w:bCs/>
          <w:color w:val="231F20"/>
          <w:sz w:val="20"/>
          <w:szCs w:val="20"/>
          <w:lang w:val="el-GR"/>
        </w:rPr>
      </w:pPr>
      <w:r w:rsidRPr="00E13990">
        <w:rPr>
          <w:b/>
          <w:bCs/>
          <w:color w:val="231F20"/>
          <w:sz w:val="20"/>
          <w:szCs w:val="20"/>
          <w:lang w:val="el-GR"/>
        </w:rPr>
        <w:t>Αισιόδοξα μηνύματα για τις προοπτικές των σημαντικότερων οικονομιών</w:t>
      </w:r>
    </w:p>
    <w:p w14:paraId="72764EAC" w14:textId="77777777" w:rsidR="009B701F" w:rsidRDefault="009B701F" w:rsidP="009B701F">
      <w:pPr>
        <w:pStyle w:val="a4"/>
        <w:kinsoku w:val="0"/>
        <w:overflowPunct w:val="0"/>
        <w:ind w:left="1758" w:right="227"/>
        <w:jc w:val="both"/>
        <w:rPr>
          <w:b/>
          <w:bCs/>
          <w:color w:val="231F20"/>
          <w:sz w:val="20"/>
          <w:szCs w:val="20"/>
          <w:lang w:val="el-GR"/>
        </w:rPr>
      </w:pPr>
    </w:p>
    <w:p w14:paraId="3FB50E9A" w14:textId="147F7C4E" w:rsidR="009B701F" w:rsidRDefault="009B701F" w:rsidP="009B701F">
      <w:pPr>
        <w:pStyle w:val="a4"/>
        <w:kinsoku w:val="0"/>
        <w:overflowPunct w:val="0"/>
        <w:ind w:left="1758" w:right="227"/>
        <w:jc w:val="both"/>
        <w:rPr>
          <w:color w:val="231F20"/>
          <w:sz w:val="20"/>
          <w:szCs w:val="20"/>
          <w:lang w:val="el-GR"/>
        </w:rPr>
      </w:pPr>
      <w:r w:rsidRPr="00E13990">
        <w:rPr>
          <w:color w:val="231F20"/>
          <w:sz w:val="20"/>
          <w:szCs w:val="20"/>
          <w:lang w:val="el-GR"/>
        </w:rPr>
        <w:t xml:space="preserve">Η άνοδος των ομολογιακών αποδόσεων υποδηλώνει την αισιοδοξία των συμμετεχόντων στις αγορές για την πορεία των βασικότερων οικονομιών. Άλλωστε, ο διαρκώς βελτιούμενος ρυθμός των εμβολιασμών σε πολλές εθνικές οικονομίες αλλά και η </w:t>
      </w:r>
      <w:proofErr w:type="spellStart"/>
      <w:r w:rsidRPr="00E13990">
        <w:rPr>
          <w:color w:val="231F20"/>
          <w:sz w:val="20"/>
          <w:szCs w:val="20"/>
          <w:lang w:val="el-GR"/>
        </w:rPr>
        <w:t>εμπροσθοβαρής</w:t>
      </w:r>
      <w:proofErr w:type="spellEnd"/>
      <w:r w:rsidRPr="00E13990">
        <w:rPr>
          <w:color w:val="231F20"/>
          <w:sz w:val="20"/>
          <w:szCs w:val="20"/>
          <w:lang w:val="el-GR"/>
        </w:rPr>
        <w:t xml:space="preserve"> δέσμη δημοσιονομικών μέτρων που εγκρίθηκε</w:t>
      </w:r>
      <w:r>
        <w:rPr>
          <w:color w:val="231F20"/>
          <w:sz w:val="20"/>
          <w:szCs w:val="20"/>
          <w:lang w:val="el-GR"/>
        </w:rPr>
        <w:t>,</w:t>
      </w:r>
      <w:r w:rsidRPr="00E13990">
        <w:rPr>
          <w:color w:val="231F20"/>
          <w:sz w:val="20"/>
          <w:szCs w:val="20"/>
          <w:lang w:val="el-GR"/>
        </w:rPr>
        <w:t xml:space="preserve"> στις 10 Μαρτίου 2021</w:t>
      </w:r>
      <w:r>
        <w:rPr>
          <w:color w:val="231F20"/>
          <w:sz w:val="20"/>
          <w:szCs w:val="20"/>
          <w:lang w:val="el-GR"/>
        </w:rPr>
        <w:t>,</w:t>
      </w:r>
      <w:r w:rsidRPr="00E13990">
        <w:rPr>
          <w:color w:val="231F20"/>
          <w:sz w:val="20"/>
          <w:szCs w:val="20"/>
          <w:lang w:val="el-GR"/>
        </w:rPr>
        <w:t xml:space="preserve"> στις ΗΠΑ ύψους 1,9 </w:t>
      </w:r>
      <w:proofErr w:type="spellStart"/>
      <w:r w:rsidRPr="00E13990">
        <w:rPr>
          <w:color w:val="231F20"/>
          <w:sz w:val="20"/>
          <w:szCs w:val="20"/>
          <w:lang w:val="el-GR"/>
        </w:rPr>
        <w:t>τρισ</w:t>
      </w:r>
      <w:proofErr w:type="spellEnd"/>
      <w:r w:rsidRPr="00E13990">
        <w:rPr>
          <w:color w:val="231F20"/>
          <w:sz w:val="20"/>
          <w:szCs w:val="20"/>
          <w:lang w:val="el-GR"/>
        </w:rPr>
        <w:t>. δολ</w:t>
      </w:r>
      <w:r>
        <w:rPr>
          <w:color w:val="231F20"/>
          <w:sz w:val="20"/>
          <w:szCs w:val="20"/>
          <w:lang w:val="el-GR"/>
        </w:rPr>
        <w:t>αρίων</w:t>
      </w:r>
      <w:r w:rsidRPr="00E13990">
        <w:rPr>
          <w:color w:val="231F20"/>
          <w:sz w:val="20"/>
          <w:szCs w:val="20"/>
          <w:lang w:val="el-GR"/>
        </w:rPr>
        <w:t xml:space="preserve"> ΗΠΑ (8,8% του ΑΕΠ του 2020), αυξάνουν τις πιθανότητες περαιτέρω ενίσχυσης της παγκόσμιας οικονομικής δραστηριότητας. Σύμφωνα με την ΕΚΤ, μόνο στη Ζώνη του Ευρώ, τα δημοσιονομικά μέτρα στις ΗΠΑ θα συμβάλουν στην αύξηση του </w:t>
      </w:r>
      <w:r w:rsidRPr="00E63A1F">
        <w:rPr>
          <w:color w:val="231F20"/>
          <w:sz w:val="20"/>
          <w:szCs w:val="20"/>
          <w:lang w:val="el-GR"/>
        </w:rPr>
        <w:t xml:space="preserve">ΑΕΠ κατά 0,3%, έως το τέλος του 2023, ενώ σημαντική θα είναι η συμβολή του ευρωπαϊκού </w:t>
      </w:r>
      <w:r w:rsidR="0043090E">
        <w:rPr>
          <w:color w:val="231F20"/>
          <w:sz w:val="20"/>
          <w:szCs w:val="20"/>
          <w:lang w:val="el-GR"/>
        </w:rPr>
        <w:t>Ταμείου</w:t>
      </w:r>
      <w:r w:rsidR="0043090E" w:rsidRPr="0043090E">
        <w:rPr>
          <w:color w:val="231F20"/>
          <w:sz w:val="20"/>
          <w:szCs w:val="20"/>
          <w:lang w:val="el-GR"/>
        </w:rPr>
        <w:t xml:space="preserve"> </w:t>
      </w:r>
      <w:r w:rsidR="0043090E">
        <w:rPr>
          <w:color w:val="231F20"/>
          <w:sz w:val="20"/>
          <w:szCs w:val="20"/>
          <w:lang w:val="el-GR"/>
        </w:rPr>
        <w:t>Α</w:t>
      </w:r>
      <w:r w:rsidR="0043090E" w:rsidRPr="0043090E">
        <w:rPr>
          <w:color w:val="231F20"/>
          <w:sz w:val="20"/>
          <w:szCs w:val="20"/>
          <w:lang w:val="el-GR"/>
        </w:rPr>
        <w:t xml:space="preserve">νάκαμψης </w:t>
      </w:r>
      <w:proofErr w:type="spellStart"/>
      <w:r w:rsidR="0043090E" w:rsidRPr="0043090E">
        <w:rPr>
          <w:color w:val="231F20"/>
          <w:sz w:val="20"/>
          <w:szCs w:val="20"/>
          <w:lang w:val="el-GR"/>
        </w:rPr>
        <w:t>NextGeneration</w:t>
      </w:r>
      <w:proofErr w:type="spellEnd"/>
      <w:r w:rsidR="0043090E" w:rsidRPr="0043090E">
        <w:rPr>
          <w:color w:val="231F20"/>
          <w:sz w:val="20"/>
          <w:szCs w:val="20"/>
          <w:lang w:val="el-GR"/>
        </w:rPr>
        <w:t xml:space="preserve"> EU (NGEU) </w:t>
      </w:r>
      <w:r w:rsidRPr="00E63A1F">
        <w:rPr>
          <w:color w:val="231F20"/>
          <w:sz w:val="20"/>
          <w:szCs w:val="20"/>
          <w:lang w:val="el-GR"/>
        </w:rPr>
        <w:t xml:space="preserve">για τη δημιουργία μιας </w:t>
      </w:r>
      <w:proofErr w:type="spellStart"/>
      <w:r w:rsidRPr="00E63A1F">
        <w:rPr>
          <w:color w:val="231F20"/>
          <w:sz w:val="20"/>
          <w:szCs w:val="20"/>
          <w:lang w:val="el-GR"/>
        </w:rPr>
        <w:t>εμπροσθοβαρούς</w:t>
      </w:r>
      <w:proofErr w:type="spellEnd"/>
      <w:r w:rsidRPr="00E63A1F">
        <w:rPr>
          <w:color w:val="231F20"/>
          <w:sz w:val="20"/>
          <w:szCs w:val="20"/>
          <w:lang w:val="el-GR"/>
        </w:rPr>
        <w:t xml:space="preserve"> καταναλωτικής και επενδυτικής δαπάνης.</w:t>
      </w:r>
    </w:p>
    <w:p w14:paraId="1A71EF8A" w14:textId="4009201C" w:rsidR="009B701F" w:rsidRDefault="009B701F" w:rsidP="009B701F">
      <w:pPr>
        <w:pStyle w:val="a4"/>
        <w:kinsoku w:val="0"/>
        <w:overflowPunct w:val="0"/>
        <w:ind w:left="1758" w:right="227"/>
        <w:jc w:val="both"/>
        <w:rPr>
          <w:color w:val="231F20"/>
          <w:sz w:val="20"/>
          <w:szCs w:val="20"/>
          <w:lang w:val="el-GR"/>
        </w:rPr>
      </w:pPr>
    </w:p>
    <w:p w14:paraId="39219934" w14:textId="42C4A2AD" w:rsidR="00671065" w:rsidRDefault="00671065" w:rsidP="009B701F">
      <w:pPr>
        <w:pStyle w:val="a4"/>
        <w:kinsoku w:val="0"/>
        <w:overflowPunct w:val="0"/>
        <w:ind w:left="1758" w:right="227"/>
        <w:jc w:val="both"/>
        <w:rPr>
          <w:color w:val="231F20"/>
          <w:sz w:val="20"/>
          <w:szCs w:val="20"/>
          <w:lang w:val="el-GR"/>
        </w:rPr>
      </w:pPr>
    </w:p>
    <w:p w14:paraId="0CA1AF60" w14:textId="6237BF7E" w:rsidR="00671065" w:rsidRDefault="00671065" w:rsidP="009B701F">
      <w:pPr>
        <w:pStyle w:val="a4"/>
        <w:kinsoku w:val="0"/>
        <w:overflowPunct w:val="0"/>
        <w:ind w:left="1758" w:right="227"/>
        <w:jc w:val="both"/>
        <w:rPr>
          <w:color w:val="231F20"/>
          <w:sz w:val="20"/>
          <w:szCs w:val="20"/>
          <w:lang w:val="el-GR"/>
        </w:rPr>
      </w:pPr>
    </w:p>
    <w:p w14:paraId="0FBA334C" w14:textId="1C86FA7B" w:rsidR="00834EB4" w:rsidRDefault="00834EB4" w:rsidP="009B701F">
      <w:pPr>
        <w:pStyle w:val="a4"/>
        <w:kinsoku w:val="0"/>
        <w:overflowPunct w:val="0"/>
        <w:ind w:left="1758" w:right="227"/>
        <w:jc w:val="both"/>
        <w:rPr>
          <w:color w:val="231F20"/>
          <w:sz w:val="20"/>
          <w:szCs w:val="20"/>
          <w:lang w:val="el-GR"/>
        </w:rPr>
      </w:pPr>
    </w:p>
    <w:p w14:paraId="0143F164" w14:textId="4DD03A55" w:rsidR="00834EB4" w:rsidRDefault="00834EB4" w:rsidP="009B701F">
      <w:pPr>
        <w:pStyle w:val="a4"/>
        <w:kinsoku w:val="0"/>
        <w:overflowPunct w:val="0"/>
        <w:ind w:left="1758" w:right="227"/>
        <w:jc w:val="both"/>
        <w:rPr>
          <w:color w:val="231F20"/>
          <w:sz w:val="20"/>
          <w:szCs w:val="20"/>
          <w:lang w:val="el-GR"/>
        </w:rPr>
      </w:pPr>
    </w:p>
    <w:p w14:paraId="485AA14D" w14:textId="77777777" w:rsidR="00834EB4" w:rsidRDefault="00834EB4" w:rsidP="009B701F">
      <w:pPr>
        <w:pStyle w:val="a4"/>
        <w:kinsoku w:val="0"/>
        <w:overflowPunct w:val="0"/>
        <w:ind w:left="1758" w:right="227"/>
        <w:jc w:val="both"/>
        <w:rPr>
          <w:color w:val="231F20"/>
          <w:sz w:val="20"/>
          <w:szCs w:val="20"/>
          <w:lang w:val="el-GR"/>
        </w:rPr>
      </w:pPr>
    </w:p>
    <w:p w14:paraId="114633CE" w14:textId="77777777" w:rsidR="00776E11" w:rsidRPr="004D4B71" w:rsidRDefault="00776E11" w:rsidP="00776E11">
      <w:pPr>
        <w:pStyle w:val="1"/>
        <w:pBdr>
          <w:top w:val="single" w:sz="8" w:space="0" w:color="00B0F0"/>
          <w:bottom w:val="single" w:sz="8" w:space="1" w:color="00B0F0"/>
        </w:pBdr>
        <w:kinsoku w:val="0"/>
        <w:overflowPunct w:val="0"/>
        <w:spacing w:before="0"/>
        <w:ind w:left="1758" w:right="227"/>
        <w:rPr>
          <w:b w:val="0"/>
          <w:bCs w:val="0"/>
          <w:color w:val="000000"/>
        </w:rPr>
      </w:pPr>
      <w:r>
        <w:rPr>
          <w:color w:val="63A1AA"/>
        </w:rPr>
        <w:lastRenderedPageBreak/>
        <w:t>ΗΠΑ</w:t>
      </w:r>
    </w:p>
    <w:p w14:paraId="4D3E2F31" w14:textId="77777777" w:rsidR="00776E11" w:rsidRPr="00E90071" w:rsidRDefault="00776E11" w:rsidP="00776E11">
      <w:pPr>
        <w:pStyle w:val="a4"/>
        <w:tabs>
          <w:tab w:val="left" w:pos="11199"/>
        </w:tabs>
        <w:kinsoku w:val="0"/>
        <w:overflowPunct w:val="0"/>
        <w:ind w:left="1758" w:right="227"/>
        <w:jc w:val="both"/>
        <w:rPr>
          <w:b/>
          <w:bCs/>
          <w:sz w:val="20"/>
          <w:szCs w:val="20"/>
          <w:lang w:val="el-GR"/>
        </w:rPr>
      </w:pPr>
      <w:r w:rsidRPr="004D4B71">
        <w:rPr>
          <w:lang w:val="el-GR"/>
        </w:rPr>
        <w:br/>
      </w:r>
      <w:r>
        <w:rPr>
          <w:b/>
          <w:bCs/>
          <w:sz w:val="20"/>
          <w:szCs w:val="20"/>
          <w:lang w:val="el-GR"/>
        </w:rPr>
        <w:t>Δείκτης Τιμών Καταναλωτή (ΔΤΚ)</w:t>
      </w:r>
    </w:p>
    <w:p w14:paraId="65A53DF8" w14:textId="77777777" w:rsidR="00776E11" w:rsidRDefault="00776E11" w:rsidP="00776E11">
      <w:pPr>
        <w:pStyle w:val="a4"/>
        <w:tabs>
          <w:tab w:val="left" w:pos="11199"/>
        </w:tabs>
        <w:kinsoku w:val="0"/>
        <w:overflowPunct w:val="0"/>
        <w:ind w:left="1758" w:right="227"/>
        <w:jc w:val="both"/>
        <w:rPr>
          <w:b/>
          <w:bCs/>
          <w:sz w:val="20"/>
          <w:szCs w:val="20"/>
          <w:lang w:val="el-GR"/>
        </w:rPr>
      </w:pPr>
    </w:p>
    <w:p w14:paraId="0F4744C3" w14:textId="77777777" w:rsidR="00776E11" w:rsidRPr="00A72998" w:rsidRDefault="00776E11" w:rsidP="00776E11">
      <w:pPr>
        <w:pStyle w:val="a4"/>
        <w:tabs>
          <w:tab w:val="left" w:pos="11199"/>
        </w:tabs>
        <w:kinsoku w:val="0"/>
        <w:overflowPunct w:val="0"/>
        <w:ind w:left="1758" w:right="227"/>
        <w:jc w:val="both"/>
        <w:rPr>
          <w:sz w:val="20"/>
          <w:szCs w:val="20"/>
          <w:lang w:val="el-GR"/>
        </w:rPr>
      </w:pPr>
      <w:r w:rsidRPr="00A72998">
        <w:rPr>
          <w:sz w:val="20"/>
          <w:szCs w:val="20"/>
          <w:lang w:val="el-GR"/>
        </w:rPr>
        <w:t xml:space="preserve">Σύμφωνα με τα μη εποχικά διορθωμένα στοιχεία, τον Απρίλιο, ο πληθωρισμός ανήλθε στο 4,2%, σε ετήσια βάση, έναντι 2,6%, τον προηγούμενο μήνα. Η επίδοση του Απριλίου ήταν σημαντικά ανώτερη από τις εκτιμήσεις της αγοράς, ενώ πρόκειται για την υψηλότερη μέτρηση μετά την αύξηση κατά 4,9%, τον Σεπτέμβριο 2008 (Γράφημα </w:t>
      </w:r>
      <w:r w:rsidRPr="00F3293D">
        <w:rPr>
          <w:sz w:val="20"/>
          <w:szCs w:val="20"/>
          <w:lang w:val="el-GR"/>
        </w:rPr>
        <w:t>7</w:t>
      </w:r>
      <w:r w:rsidRPr="00A72998">
        <w:rPr>
          <w:sz w:val="20"/>
          <w:szCs w:val="20"/>
          <w:lang w:val="el-GR"/>
        </w:rPr>
        <w:t>). Η διαμόρφωση του πληθωρισμού στα τρέχοντα επίπεδα οφείλεται, κυρίως, στην ετήσια αύξηση των τιμών της ενέργειας (25,1%) και, δευτερευόντως, των τιμών των τροφίμων (2,4%). Επίσης, παρά τη μικρή βαρύτητα στη διαμόρφωση του ΔΤΚ, αξίζει να σημειωθεί η σημαντική ετήσια αύξηση που κατέγραψαν οι τιμές των μεταχειρισμένων αυτοκινήτων και φορτηγών (21%). Αντίθετα, ετήσια μείωση σημείωσαν μόνο οι τιμές των προϊόντων ιατρικής περίθαλψης (-1,7%). Επιπρόσθετα, ο δομικός πληθωρισμός (ΔΤΚ εξαιρουμένων των τιμών των τροφίμων και της ενέργειας), τον Απρίλιο, αυξήθηκε στο 3%, από 1,6%, τον προηγούμενο μήνα. Σε μηνιαία βάση, ο πληθωρισμός αυξήθηκε, από 0,6% τον Μάρτιο, σε 0,8% (εποχικά διορθωμένα στοιχεία), τον Απρίλιο, λόγω, κυρίως, της αύξησης των τιμών των μεταχειρισμένων αυτοκινήτων και φορτηγών (10%).</w:t>
      </w:r>
    </w:p>
    <w:p w14:paraId="3C25B55F" w14:textId="77777777" w:rsidR="00776E11" w:rsidRPr="00A72998" w:rsidRDefault="00776E11" w:rsidP="00776E11">
      <w:pPr>
        <w:pStyle w:val="a4"/>
        <w:tabs>
          <w:tab w:val="left" w:pos="11199"/>
        </w:tabs>
        <w:kinsoku w:val="0"/>
        <w:overflowPunct w:val="0"/>
        <w:ind w:left="1758" w:right="227"/>
        <w:jc w:val="both"/>
        <w:rPr>
          <w:sz w:val="20"/>
          <w:szCs w:val="20"/>
          <w:lang w:val="el-GR"/>
        </w:rPr>
      </w:pPr>
    </w:p>
    <w:p w14:paraId="0DABD0C3" w14:textId="3E6FEFAC" w:rsidR="00776E11" w:rsidRPr="00A72998" w:rsidRDefault="00776E11" w:rsidP="00776E11">
      <w:pPr>
        <w:pStyle w:val="a4"/>
        <w:tabs>
          <w:tab w:val="left" w:pos="11199"/>
        </w:tabs>
        <w:kinsoku w:val="0"/>
        <w:overflowPunct w:val="0"/>
        <w:ind w:left="1758" w:right="227"/>
        <w:jc w:val="both"/>
        <w:rPr>
          <w:sz w:val="20"/>
          <w:szCs w:val="20"/>
          <w:lang w:val="el-GR"/>
        </w:rPr>
      </w:pPr>
      <w:r w:rsidRPr="00A72998">
        <w:rPr>
          <w:sz w:val="20"/>
          <w:szCs w:val="20"/>
          <w:lang w:val="el-GR"/>
        </w:rPr>
        <w:t>Ο πληθωρισμός, από το ξέσπασμα της πανδημίας Covid-19, υποχώρησε σημαντικά, σε ετήσια βάση, κινούμενος σε ιδιαίτερα χαμηλά επίπεδα, το διάστημα Απριλίου-Ιουνίου 2020. Από τον Ιούλιο 2020 και μετά, ο πληθωρισμός ανέκαμψε, ενώ διαμορφώθηκε σε επίπεδα άνω του 2%, το δίμηνο Μαρτίου-Απριλίου</w:t>
      </w:r>
      <w:r w:rsidR="0043090E">
        <w:rPr>
          <w:sz w:val="20"/>
          <w:szCs w:val="20"/>
          <w:lang w:val="el-GR"/>
        </w:rPr>
        <w:t xml:space="preserve"> 2021</w:t>
      </w:r>
      <w:r w:rsidRPr="00A72998">
        <w:rPr>
          <w:sz w:val="20"/>
          <w:szCs w:val="20"/>
          <w:lang w:val="el-GR"/>
        </w:rPr>
        <w:t>. Η αύξηση του ΔΤΚ αποδίδεται στους κάτωθι λόγους:</w:t>
      </w:r>
    </w:p>
    <w:p w14:paraId="137474C0" w14:textId="77777777" w:rsidR="00776E11" w:rsidRPr="00776E11" w:rsidRDefault="00776E11" w:rsidP="00776E11">
      <w:pPr>
        <w:pStyle w:val="a4"/>
        <w:tabs>
          <w:tab w:val="left" w:pos="11199"/>
        </w:tabs>
        <w:kinsoku w:val="0"/>
        <w:overflowPunct w:val="0"/>
        <w:ind w:left="1758" w:right="227"/>
        <w:jc w:val="both"/>
        <w:rPr>
          <w:sz w:val="16"/>
          <w:szCs w:val="20"/>
          <w:lang w:val="el-GR"/>
        </w:rPr>
      </w:pPr>
    </w:p>
    <w:p w14:paraId="75AFAE28" w14:textId="77777777" w:rsidR="00776E11" w:rsidRPr="00A72998" w:rsidRDefault="00776E11" w:rsidP="00776E11">
      <w:pPr>
        <w:pStyle w:val="a4"/>
        <w:tabs>
          <w:tab w:val="left" w:pos="11199"/>
        </w:tabs>
        <w:kinsoku w:val="0"/>
        <w:overflowPunct w:val="0"/>
        <w:ind w:left="1758" w:right="227"/>
        <w:jc w:val="both"/>
        <w:rPr>
          <w:sz w:val="20"/>
          <w:szCs w:val="20"/>
          <w:lang w:val="el-GR"/>
        </w:rPr>
      </w:pPr>
      <w:r w:rsidRPr="00A72998">
        <w:rPr>
          <w:sz w:val="20"/>
          <w:szCs w:val="20"/>
          <w:lang w:val="el-GR"/>
        </w:rPr>
        <w:t>Πρώτον, στην ανάκαμψη των τιμών της ενέργειας, οι οποίες</w:t>
      </w:r>
      <w:r>
        <w:rPr>
          <w:sz w:val="20"/>
          <w:szCs w:val="20"/>
          <w:lang w:val="el-GR"/>
        </w:rPr>
        <w:t>,</w:t>
      </w:r>
      <w:r w:rsidRPr="00A72998">
        <w:rPr>
          <w:sz w:val="20"/>
          <w:szCs w:val="20"/>
          <w:lang w:val="el-GR"/>
        </w:rPr>
        <w:t xml:space="preserve"> από το ξέσπασμα της πανδημίας</w:t>
      </w:r>
      <w:r>
        <w:rPr>
          <w:sz w:val="20"/>
          <w:szCs w:val="20"/>
          <w:lang w:val="el-GR"/>
        </w:rPr>
        <w:t>,</w:t>
      </w:r>
      <w:r w:rsidRPr="00A72998">
        <w:rPr>
          <w:sz w:val="20"/>
          <w:szCs w:val="20"/>
          <w:lang w:val="el-GR"/>
        </w:rPr>
        <w:t xml:space="preserve"> μειώθηκαν σημαντικά, ως απόρροια, κυρίως, της μειωμένης ζήτησης και των περιορισμών στις ταξιδιωτικές μετακινήσεις. Αναφέρεται ενδεικτικά ότι, σύμφωνα με την U.S. Energy Information Administration-ΕΙΑ, η τιμή του αργού πετρελαίου </w:t>
      </w:r>
      <w:proofErr w:type="spellStart"/>
      <w:r w:rsidRPr="00A72998">
        <w:rPr>
          <w:sz w:val="20"/>
          <w:szCs w:val="20"/>
          <w:lang w:val="el-GR"/>
        </w:rPr>
        <w:t>West</w:t>
      </w:r>
      <w:proofErr w:type="spellEnd"/>
      <w:r w:rsidRPr="00A72998">
        <w:rPr>
          <w:sz w:val="20"/>
          <w:szCs w:val="20"/>
          <w:lang w:val="el-GR"/>
        </w:rPr>
        <w:t xml:space="preserve"> </w:t>
      </w:r>
      <w:proofErr w:type="spellStart"/>
      <w:r w:rsidRPr="00A72998">
        <w:rPr>
          <w:sz w:val="20"/>
          <w:szCs w:val="20"/>
          <w:lang w:val="el-GR"/>
        </w:rPr>
        <w:t>Texas</w:t>
      </w:r>
      <w:proofErr w:type="spellEnd"/>
      <w:r w:rsidRPr="00A72998">
        <w:rPr>
          <w:sz w:val="20"/>
          <w:szCs w:val="20"/>
          <w:lang w:val="el-GR"/>
        </w:rPr>
        <w:t xml:space="preserve"> </w:t>
      </w:r>
      <w:proofErr w:type="spellStart"/>
      <w:r w:rsidRPr="00A72998">
        <w:rPr>
          <w:sz w:val="20"/>
          <w:szCs w:val="20"/>
          <w:lang w:val="el-GR"/>
        </w:rPr>
        <w:t>Intermediate</w:t>
      </w:r>
      <w:proofErr w:type="spellEnd"/>
      <w:r w:rsidRPr="00A72998">
        <w:rPr>
          <w:sz w:val="20"/>
          <w:szCs w:val="20"/>
          <w:lang w:val="el-GR"/>
        </w:rPr>
        <w:t xml:space="preserve"> (WTI) διαμορφώθηκε, το δίμηνο Μαρτίου-Απριλίου</w:t>
      </w:r>
      <w:r>
        <w:rPr>
          <w:sz w:val="20"/>
          <w:szCs w:val="20"/>
          <w:lang w:val="el-GR"/>
        </w:rPr>
        <w:t>,</w:t>
      </w:r>
      <w:r w:rsidRPr="00A72998">
        <w:rPr>
          <w:sz w:val="20"/>
          <w:szCs w:val="20"/>
          <w:lang w:val="el-GR"/>
        </w:rPr>
        <w:t xml:space="preserve"> στα 62,3 και 61,7 δολάρια/βαρέλι, όταν</w:t>
      </w:r>
      <w:r>
        <w:rPr>
          <w:sz w:val="20"/>
          <w:szCs w:val="20"/>
          <w:lang w:val="el-GR"/>
        </w:rPr>
        <w:t>,</w:t>
      </w:r>
      <w:r w:rsidRPr="00A72998">
        <w:rPr>
          <w:sz w:val="20"/>
          <w:szCs w:val="20"/>
          <w:lang w:val="el-GR"/>
        </w:rPr>
        <w:t xml:space="preserve"> το αντίστοιχο δίμηνο του 2020</w:t>
      </w:r>
      <w:r>
        <w:rPr>
          <w:sz w:val="20"/>
          <w:szCs w:val="20"/>
          <w:lang w:val="el-GR"/>
        </w:rPr>
        <w:t>,</w:t>
      </w:r>
      <w:r w:rsidRPr="00A72998">
        <w:rPr>
          <w:sz w:val="20"/>
          <w:szCs w:val="20"/>
          <w:lang w:val="el-GR"/>
        </w:rPr>
        <w:t xml:space="preserve"> είχε υποχωρήσει στα 29,2 και 16,6 δολάρια/βαρέλι, αντίστοιχα. Συνολικά, το 2020, η τιμή του </w:t>
      </w:r>
      <w:r w:rsidRPr="00A72998">
        <w:rPr>
          <w:sz w:val="20"/>
          <w:szCs w:val="20"/>
        </w:rPr>
        <w:t>WTI</w:t>
      </w:r>
      <w:r w:rsidRPr="00A72998">
        <w:rPr>
          <w:sz w:val="20"/>
          <w:szCs w:val="20"/>
          <w:lang w:val="el-GR"/>
        </w:rPr>
        <w:t xml:space="preserve"> υποχώρησε στα 39,2 δολάρια/βαρέλι, από 57 δολάρια/βαρέλι, το 2019, ενώ η ΕΙΑ εκτιμά ότι θα αυξηθεί στα 58,9 δολάρια/βαρέλι, το 2021, για να υποχωρήσει στα 57 δολάρια/βαρέλι, το 2022. Οι τιμές της ενέργειας αναμένεται, βραχυπρόθεσμα, να εξακολουθήσουν να ασκούν πληθωριστικές πιέσεις στο Δείκτη Τιμών Καταναλωτή.</w:t>
      </w:r>
    </w:p>
    <w:p w14:paraId="6FB92E83" w14:textId="77777777" w:rsidR="00776E11" w:rsidRPr="00776E11" w:rsidRDefault="00776E11" w:rsidP="00776E11">
      <w:pPr>
        <w:pStyle w:val="a4"/>
        <w:tabs>
          <w:tab w:val="left" w:pos="11199"/>
        </w:tabs>
        <w:kinsoku w:val="0"/>
        <w:overflowPunct w:val="0"/>
        <w:ind w:left="1758" w:right="227"/>
        <w:jc w:val="both"/>
        <w:rPr>
          <w:sz w:val="16"/>
          <w:szCs w:val="20"/>
          <w:lang w:val="el-GR"/>
        </w:rPr>
      </w:pPr>
    </w:p>
    <w:p w14:paraId="2E3A4CB4" w14:textId="0D32C1A8" w:rsidR="00776E11" w:rsidRDefault="00776E11" w:rsidP="00776E11">
      <w:pPr>
        <w:pStyle w:val="a4"/>
        <w:tabs>
          <w:tab w:val="left" w:pos="11199"/>
        </w:tabs>
        <w:kinsoku w:val="0"/>
        <w:overflowPunct w:val="0"/>
        <w:ind w:left="1758" w:right="227"/>
        <w:jc w:val="both"/>
        <w:rPr>
          <w:sz w:val="20"/>
          <w:szCs w:val="20"/>
          <w:lang w:val="el-GR"/>
        </w:rPr>
      </w:pPr>
      <w:r w:rsidRPr="00A72998">
        <w:rPr>
          <w:sz w:val="20"/>
          <w:szCs w:val="20"/>
          <w:lang w:val="el-GR"/>
        </w:rPr>
        <w:t>Δεύτερον, στην αύξηση της ιδιωτικής κατανάλωσης, καθώς η εξέλιξη του εμβολιαστικού προγράμματος έχει επιτρέψει τη σταδιακή άρση των περιοριστικών μέτρων. Αξίζει να αναφερθεί ότι</w:t>
      </w:r>
      <w:r>
        <w:rPr>
          <w:sz w:val="20"/>
          <w:szCs w:val="20"/>
          <w:lang w:val="el-GR"/>
        </w:rPr>
        <w:t>,</w:t>
      </w:r>
      <w:r w:rsidRPr="00A72998">
        <w:rPr>
          <w:sz w:val="20"/>
          <w:szCs w:val="20"/>
          <w:lang w:val="el-GR"/>
        </w:rPr>
        <w:t xml:space="preserve"> το πρώτο τρίμηνο του 2021</w:t>
      </w:r>
      <w:r>
        <w:rPr>
          <w:sz w:val="20"/>
          <w:szCs w:val="20"/>
          <w:lang w:val="el-GR"/>
        </w:rPr>
        <w:t>,</w:t>
      </w:r>
      <w:r w:rsidRPr="00A72998">
        <w:rPr>
          <w:sz w:val="20"/>
          <w:szCs w:val="20"/>
          <w:lang w:val="el-GR"/>
        </w:rPr>
        <w:t xml:space="preserve"> η ιδιωτική κατανάλωση κατέγραψε θετικό ρυθμό μεταβολής, για τρίτο διαδοχικό τρίμηνο, σημειώνοντας αύξηση κατά 10,7%, σε </w:t>
      </w:r>
      <w:proofErr w:type="spellStart"/>
      <w:r w:rsidRPr="00A72998">
        <w:rPr>
          <w:sz w:val="20"/>
          <w:szCs w:val="20"/>
          <w:lang w:val="el-GR"/>
        </w:rPr>
        <w:t>ετησιοποιημένη</w:t>
      </w:r>
      <w:proofErr w:type="spellEnd"/>
      <w:r w:rsidRPr="00A72998">
        <w:rPr>
          <w:sz w:val="20"/>
          <w:szCs w:val="20"/>
          <w:lang w:val="el-GR"/>
        </w:rPr>
        <w:t xml:space="preserve"> βάση. Όσον αφορά στο 2021, η ενίσχυση της οικονομικής δραστηριότητας αναμένεται να οδηγήσει σε υψηλότερα επίπεδα τον πληθωρισμό. Το Διεθνές Νομισματικό Ταμείο (</w:t>
      </w:r>
      <w:r w:rsidRPr="00A72998">
        <w:rPr>
          <w:sz w:val="20"/>
          <w:szCs w:val="20"/>
        </w:rPr>
        <w:t>IMF</w:t>
      </w:r>
      <w:r w:rsidRPr="00A72998">
        <w:rPr>
          <w:sz w:val="20"/>
          <w:szCs w:val="20"/>
          <w:lang w:val="el-GR"/>
        </w:rPr>
        <w:t xml:space="preserve">, </w:t>
      </w:r>
      <w:r w:rsidRPr="00A72998">
        <w:rPr>
          <w:sz w:val="20"/>
          <w:szCs w:val="20"/>
        </w:rPr>
        <w:t>World</w:t>
      </w:r>
      <w:r w:rsidRPr="00A72998">
        <w:rPr>
          <w:sz w:val="20"/>
          <w:szCs w:val="20"/>
          <w:lang w:val="el-GR"/>
        </w:rPr>
        <w:t xml:space="preserve"> </w:t>
      </w:r>
      <w:r w:rsidRPr="00A72998">
        <w:rPr>
          <w:sz w:val="20"/>
          <w:szCs w:val="20"/>
        </w:rPr>
        <w:t>Economic</w:t>
      </w:r>
      <w:r w:rsidRPr="00A72998">
        <w:rPr>
          <w:sz w:val="20"/>
          <w:szCs w:val="20"/>
          <w:lang w:val="el-GR"/>
        </w:rPr>
        <w:t xml:space="preserve"> </w:t>
      </w:r>
      <w:r w:rsidRPr="00A72998">
        <w:rPr>
          <w:sz w:val="20"/>
          <w:szCs w:val="20"/>
        </w:rPr>
        <w:t>Outlook</w:t>
      </w:r>
      <w:r w:rsidRPr="00A72998">
        <w:rPr>
          <w:sz w:val="20"/>
          <w:szCs w:val="20"/>
          <w:lang w:val="el-GR"/>
        </w:rPr>
        <w:t xml:space="preserve"> </w:t>
      </w:r>
      <w:r w:rsidRPr="00A72998">
        <w:rPr>
          <w:sz w:val="20"/>
          <w:szCs w:val="20"/>
        </w:rPr>
        <w:t>April</w:t>
      </w:r>
      <w:r w:rsidRPr="00A72998">
        <w:rPr>
          <w:sz w:val="20"/>
          <w:szCs w:val="20"/>
          <w:lang w:val="el-GR"/>
        </w:rPr>
        <w:t xml:space="preserve"> 2021) προβλέπει αύξηση του πληθωρισμού στο 2,3%, το 2021, από 1,2%, το 2020. Ιδιαίτερης αναφοράς χρήζει το πακέτο δημοσιονομικών κινήτρων ύψους 1,9 </w:t>
      </w:r>
      <w:proofErr w:type="spellStart"/>
      <w:r w:rsidRPr="00A72998">
        <w:rPr>
          <w:sz w:val="20"/>
          <w:szCs w:val="20"/>
          <w:lang w:val="el-GR"/>
        </w:rPr>
        <w:t>τρισ</w:t>
      </w:r>
      <w:proofErr w:type="spellEnd"/>
      <w:r w:rsidRPr="00A72998">
        <w:rPr>
          <w:sz w:val="20"/>
          <w:szCs w:val="20"/>
          <w:lang w:val="el-GR"/>
        </w:rPr>
        <w:t xml:space="preserve">. δολαρίων που υιοθέτησε  η αμερικανική κυβέρνηση, στις αρχές Μαρτίου. Σύμφωνα με τον ΟΟΣΑ (Economic Outlook Interim </w:t>
      </w:r>
      <w:proofErr w:type="spellStart"/>
      <w:r w:rsidRPr="00A72998">
        <w:rPr>
          <w:sz w:val="20"/>
          <w:szCs w:val="20"/>
          <w:lang w:val="el-GR"/>
        </w:rPr>
        <w:t>Report</w:t>
      </w:r>
      <w:proofErr w:type="spellEnd"/>
      <w:r w:rsidRPr="00A72998">
        <w:rPr>
          <w:sz w:val="20"/>
          <w:szCs w:val="20"/>
          <w:lang w:val="el-GR"/>
        </w:rPr>
        <w:t>, Μάρτιος 2021), το νέο πακέτο δημοσιονομικής στήριξης θα ενισχύσει το ΑΕΠ των ΗΠΑ κατά 3,8 ποσοστιαίες μονάδες, στη διάρκεια του πρώτου έτους υιοθέτησής του (Β΄ τρίμηνο 2021-Α’ τρίμηνο 2022), συμβάλλοντας σημαντικά στην αύξηση της ζήτησης και</w:t>
      </w:r>
      <w:r>
        <w:rPr>
          <w:sz w:val="20"/>
          <w:szCs w:val="20"/>
          <w:lang w:val="el-GR"/>
        </w:rPr>
        <w:t>,</w:t>
      </w:r>
      <w:r w:rsidRPr="00A72998">
        <w:rPr>
          <w:sz w:val="20"/>
          <w:szCs w:val="20"/>
          <w:lang w:val="el-GR"/>
        </w:rPr>
        <w:t xml:space="preserve"> κατά συνέπεια</w:t>
      </w:r>
      <w:r>
        <w:rPr>
          <w:sz w:val="20"/>
          <w:szCs w:val="20"/>
          <w:lang w:val="el-GR"/>
        </w:rPr>
        <w:t>,</w:t>
      </w:r>
      <w:r w:rsidRPr="00A72998">
        <w:rPr>
          <w:sz w:val="20"/>
          <w:szCs w:val="20"/>
          <w:lang w:val="el-GR"/>
        </w:rPr>
        <w:t xml:space="preserve"> στην άνοδο του πληθωρισμού.</w:t>
      </w:r>
    </w:p>
    <w:p w14:paraId="0D9D6BA3" w14:textId="6F3C0A78" w:rsidR="00776E11" w:rsidRDefault="00776E11" w:rsidP="00776E11">
      <w:pPr>
        <w:pStyle w:val="a4"/>
        <w:tabs>
          <w:tab w:val="left" w:pos="11199"/>
        </w:tabs>
        <w:kinsoku w:val="0"/>
        <w:overflowPunct w:val="0"/>
        <w:ind w:left="1758" w:right="227"/>
        <w:jc w:val="both"/>
        <w:rPr>
          <w:sz w:val="20"/>
          <w:szCs w:val="20"/>
          <w:lang w:val="el-GR"/>
        </w:rPr>
      </w:pPr>
      <w:r>
        <w:rPr>
          <w:noProof/>
          <w:lang w:val="el-GR" w:eastAsia="el-GR"/>
        </w:rPr>
        <mc:AlternateContent>
          <mc:Choice Requires="wpg">
            <w:drawing>
              <wp:anchor distT="0" distB="0" distL="114300" distR="114300" simplePos="0" relativeHeight="251679744" behindDoc="1" locked="0" layoutInCell="1" allowOverlap="1" wp14:anchorId="638C9A69" wp14:editId="786D4672">
                <wp:simplePos x="0" y="0"/>
                <wp:positionH relativeFrom="margin">
                  <wp:posOffset>0</wp:posOffset>
                </wp:positionH>
                <wp:positionV relativeFrom="paragraph">
                  <wp:posOffset>23305</wp:posOffset>
                </wp:positionV>
                <wp:extent cx="7188835" cy="2987675"/>
                <wp:effectExtent l="0" t="0" r="0" b="3175"/>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8835" cy="2987675"/>
                          <a:chOff x="0" y="0"/>
                          <a:chExt cx="7397698" cy="2980447"/>
                        </a:xfrm>
                      </wpg:grpSpPr>
                      <wps:wsp>
                        <wps:cNvPr id="221" name="Rectangle 24"/>
                        <wps:cNvSpPr>
                          <a:spLocks noChangeArrowheads="1"/>
                        </wps:cNvSpPr>
                        <wps:spPr bwMode="auto">
                          <a:xfrm>
                            <a:off x="0" y="0"/>
                            <a:ext cx="1044278" cy="298044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63F66" w14:textId="77777777" w:rsidR="00776E11" w:rsidRPr="00D83634" w:rsidRDefault="00776E11" w:rsidP="00776E11">
                              <w:pPr>
                                <w:jc w:val="center"/>
                                <w:rPr>
                                  <w:rFonts w:ascii="Arial" w:hAnsi="Arial" w:cs="Arial"/>
                                  <w:color w:val="E24C37"/>
                                  <w:spacing w:val="-4"/>
                                  <w:sz w:val="18"/>
                                  <w:lang w:val="en-US"/>
                                </w:rPr>
                              </w:pPr>
                              <w:r w:rsidRPr="000A52F8">
                                <w:rPr>
                                  <w:rFonts w:ascii="Arial" w:hAnsi="Arial" w:cs="Arial"/>
                                  <w:color w:val="E24C37"/>
                                  <w:spacing w:val="-4"/>
                                  <w:sz w:val="18"/>
                                  <w:lang w:val="en-US"/>
                                </w:rPr>
                                <w:br/>
                              </w:r>
                              <w:r w:rsidRPr="008F60AF">
                                <w:rPr>
                                  <w:rFonts w:ascii="Arial" w:hAnsi="Arial" w:cs="Arial"/>
                                  <w:color w:val="E24C37"/>
                                  <w:spacing w:val="-4"/>
                                  <w:sz w:val="18"/>
                                  <w:lang w:val="en-US"/>
                                </w:rPr>
                                <w:t xml:space="preserve"> </w:t>
                              </w:r>
                              <w:r w:rsidRPr="000753F7">
                                <w:rPr>
                                  <w:rFonts w:ascii="Arial" w:hAnsi="Arial" w:cs="Arial"/>
                                  <w:color w:val="E24C37"/>
                                  <w:spacing w:val="-4"/>
                                  <w:sz w:val="18"/>
                                </w:rPr>
                                <w:t>ΓΡΑΦΗΜΑ</w:t>
                              </w:r>
                              <w:r w:rsidRPr="000A52F8">
                                <w:rPr>
                                  <w:rFonts w:ascii="Arial" w:hAnsi="Arial" w:cs="Arial"/>
                                  <w:color w:val="E24C37"/>
                                  <w:spacing w:val="-4"/>
                                  <w:sz w:val="18"/>
                                  <w:lang w:val="en-US"/>
                                </w:rPr>
                                <w:t xml:space="preserve"> </w:t>
                              </w:r>
                              <w:r>
                                <w:rPr>
                                  <w:rFonts w:ascii="Arial" w:hAnsi="Arial" w:cs="Arial"/>
                                  <w:color w:val="E24C37"/>
                                  <w:spacing w:val="-4"/>
                                  <w:sz w:val="18"/>
                                  <w:lang w:val="en-US"/>
                                </w:rPr>
                                <w:t>7</w:t>
                              </w:r>
                            </w:p>
                            <w:p w14:paraId="12FAFE2E" w14:textId="77777777" w:rsidR="00776E11" w:rsidRPr="008F60AF" w:rsidRDefault="00776E11" w:rsidP="00776E11">
                              <w:pPr>
                                <w:jc w:val="center"/>
                                <w:rPr>
                                  <w:rFonts w:ascii="Arial" w:hAnsi="Arial" w:cs="Arial"/>
                                  <w:color w:val="E24C37"/>
                                  <w:spacing w:val="-4"/>
                                  <w:sz w:val="18"/>
                                  <w:lang w:val="en-US"/>
                                </w:rPr>
                              </w:pPr>
                              <w:r w:rsidRPr="005F4E34">
                                <w:rPr>
                                  <w:rFonts w:ascii="Arial" w:hAnsi="Arial" w:cs="Arial"/>
                                  <w:color w:val="E24C37"/>
                                  <w:spacing w:val="-4"/>
                                  <w:sz w:val="18"/>
                                  <w:lang w:val="en-US"/>
                                </w:rPr>
                                <w:t xml:space="preserve"> </w:t>
                              </w:r>
                            </w:p>
                            <w:p w14:paraId="41F5E12F" w14:textId="77777777" w:rsidR="00776E11" w:rsidRPr="000A52F8" w:rsidRDefault="00776E11" w:rsidP="00776E11">
                              <w:pPr>
                                <w:jc w:val="center"/>
                                <w:rPr>
                                  <w:rFonts w:ascii="Arial" w:hAnsi="Arial" w:cs="Arial"/>
                                  <w:color w:val="E24C37"/>
                                  <w:spacing w:val="-4"/>
                                  <w:sz w:val="18"/>
                                  <w:lang w:val="en-US"/>
                                </w:rPr>
                              </w:pPr>
                            </w:p>
                            <w:p w14:paraId="10CCA3F1" w14:textId="77777777" w:rsidR="00776E11" w:rsidRPr="000A52F8" w:rsidRDefault="00776E11" w:rsidP="00776E11">
                              <w:pPr>
                                <w:jc w:val="center"/>
                                <w:rPr>
                                  <w:rFonts w:ascii="Arial" w:hAnsi="Arial" w:cs="Arial"/>
                                  <w:color w:val="E24C37"/>
                                  <w:spacing w:val="-4"/>
                                  <w:sz w:val="18"/>
                                  <w:lang w:val="en-US"/>
                                </w:rPr>
                              </w:pPr>
                            </w:p>
                            <w:p w14:paraId="15B9FC31" w14:textId="77777777" w:rsidR="00776E11" w:rsidRPr="000A52F8" w:rsidRDefault="00776E11" w:rsidP="00776E11">
                              <w:pPr>
                                <w:jc w:val="center"/>
                                <w:rPr>
                                  <w:rFonts w:ascii="Arial" w:hAnsi="Arial" w:cs="Arial"/>
                                  <w:color w:val="E24C37"/>
                                  <w:spacing w:val="-4"/>
                                  <w:sz w:val="18"/>
                                  <w:lang w:val="en-US"/>
                                </w:rPr>
                              </w:pPr>
                            </w:p>
                            <w:p w14:paraId="1B0C9AA7" w14:textId="77777777" w:rsidR="00776E11" w:rsidRDefault="00776E11" w:rsidP="00776E11">
                              <w:pPr>
                                <w:spacing w:after="0"/>
                                <w:jc w:val="center"/>
                                <w:rPr>
                                  <w:rFonts w:ascii="Arial" w:hAnsi="Arial" w:cs="Arial"/>
                                  <w:color w:val="000000"/>
                                  <w:spacing w:val="-4"/>
                                  <w:sz w:val="18"/>
                                  <w:lang w:val="en-US"/>
                                </w:rPr>
                              </w:pPr>
                            </w:p>
                            <w:p w14:paraId="4D95AAA5" w14:textId="77777777" w:rsidR="00776E11" w:rsidRDefault="00776E11" w:rsidP="00776E11">
                              <w:pPr>
                                <w:spacing w:after="0"/>
                                <w:jc w:val="center"/>
                                <w:rPr>
                                  <w:rFonts w:ascii="Arial" w:hAnsi="Arial" w:cs="Arial"/>
                                  <w:color w:val="000000"/>
                                  <w:spacing w:val="-4"/>
                                  <w:sz w:val="18"/>
                                  <w:lang w:val="en-US"/>
                                </w:rPr>
                              </w:pPr>
                            </w:p>
                            <w:p w14:paraId="01C05BB4" w14:textId="77777777" w:rsidR="00776E11" w:rsidRDefault="00776E11" w:rsidP="00776E11">
                              <w:pPr>
                                <w:spacing w:after="0"/>
                                <w:jc w:val="center"/>
                                <w:rPr>
                                  <w:rFonts w:ascii="Arial" w:hAnsi="Arial" w:cs="Arial"/>
                                  <w:color w:val="000000"/>
                                  <w:spacing w:val="-4"/>
                                  <w:sz w:val="18"/>
                                  <w:lang w:val="en-US"/>
                                </w:rPr>
                              </w:pPr>
                            </w:p>
                            <w:p w14:paraId="4B8AC11C" w14:textId="77777777" w:rsidR="00776E11" w:rsidRDefault="00776E11" w:rsidP="00776E11">
                              <w:pPr>
                                <w:spacing w:after="0"/>
                                <w:jc w:val="center"/>
                                <w:rPr>
                                  <w:rFonts w:ascii="Arial" w:hAnsi="Arial" w:cs="Arial"/>
                                  <w:color w:val="000000"/>
                                  <w:spacing w:val="-4"/>
                                  <w:sz w:val="18"/>
                                  <w:lang w:val="en-US"/>
                                </w:rPr>
                              </w:pPr>
                            </w:p>
                            <w:p w14:paraId="251F3C46" w14:textId="77777777" w:rsidR="00776E11" w:rsidRDefault="00776E11" w:rsidP="00776E11">
                              <w:pPr>
                                <w:spacing w:after="0"/>
                                <w:jc w:val="center"/>
                                <w:rPr>
                                  <w:rFonts w:ascii="Arial" w:hAnsi="Arial" w:cs="Arial"/>
                                  <w:color w:val="000000"/>
                                  <w:spacing w:val="-4"/>
                                  <w:sz w:val="18"/>
                                  <w:lang w:val="en-US"/>
                                </w:rPr>
                              </w:pPr>
                            </w:p>
                            <w:p w14:paraId="5CF2BD6D" w14:textId="77777777" w:rsidR="00776E11" w:rsidRDefault="00776E11" w:rsidP="00776E11">
                              <w:pPr>
                                <w:spacing w:after="0"/>
                                <w:jc w:val="center"/>
                                <w:rPr>
                                  <w:rFonts w:ascii="Arial" w:hAnsi="Arial" w:cs="Arial"/>
                                  <w:color w:val="000000"/>
                                  <w:spacing w:val="-4"/>
                                  <w:sz w:val="18"/>
                                  <w:lang w:val="en-US"/>
                                </w:rPr>
                              </w:pPr>
                            </w:p>
                            <w:p w14:paraId="6759E134" w14:textId="77777777" w:rsidR="00776E11" w:rsidRPr="000A52F8" w:rsidRDefault="00776E11" w:rsidP="00776E11">
                              <w:pPr>
                                <w:spacing w:after="0"/>
                                <w:jc w:val="center"/>
                                <w:rPr>
                                  <w:rFonts w:ascii="Arial" w:hAnsi="Arial" w:cs="Arial"/>
                                  <w:color w:val="000000"/>
                                  <w:spacing w:val="-4"/>
                                  <w:sz w:val="18"/>
                                  <w:lang w:val="en-US"/>
                                </w:rPr>
                              </w:pPr>
                            </w:p>
                            <w:p w14:paraId="7E21633A" w14:textId="77777777" w:rsidR="00776E11" w:rsidRPr="000A52F8" w:rsidRDefault="00776E11" w:rsidP="00776E11">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0A52F8">
                                <w:rPr>
                                  <w:rFonts w:ascii="Arial" w:hAnsi="Arial" w:cs="Arial"/>
                                  <w:color w:val="000000"/>
                                  <w:spacing w:val="-4"/>
                                  <w:sz w:val="18"/>
                                  <w:lang w:val="en-US"/>
                                </w:rPr>
                                <w:t>:</w:t>
                              </w:r>
                            </w:p>
                            <w:p w14:paraId="61E89204" w14:textId="77777777" w:rsidR="00776E11" w:rsidRPr="00B74004" w:rsidRDefault="00776E11" w:rsidP="00776E11">
                              <w:pPr>
                                <w:spacing w:after="0"/>
                                <w:jc w:val="center"/>
                                <w:rPr>
                                  <w:rFonts w:ascii="Arial" w:hAnsi="Arial" w:cs="Arial"/>
                                  <w:color w:val="000000"/>
                                  <w:spacing w:val="-4"/>
                                  <w:sz w:val="18"/>
                                  <w:lang w:val="en-US"/>
                                </w:rPr>
                              </w:pPr>
                              <w:r w:rsidRPr="00B74004">
                                <w:rPr>
                                  <w:rFonts w:ascii="Arial" w:hAnsi="Arial" w:cs="Arial"/>
                                  <w:color w:val="000000"/>
                                  <w:spacing w:val="-4"/>
                                  <w:sz w:val="18"/>
                                  <w:lang w:val="en-US"/>
                                </w:rPr>
                                <w:t xml:space="preserve">U.S. Bureau of </w:t>
                              </w:r>
                            </w:p>
                            <w:p w14:paraId="32369DAA" w14:textId="77777777" w:rsidR="00776E11" w:rsidRPr="00C46FB2" w:rsidRDefault="00776E11" w:rsidP="00776E11">
                              <w:pPr>
                                <w:spacing w:after="0"/>
                                <w:jc w:val="center"/>
                                <w:rPr>
                                  <w:rFonts w:ascii="Arial" w:hAnsi="Arial" w:cs="Arial"/>
                                  <w:color w:val="000000"/>
                                  <w:spacing w:val="-4"/>
                                  <w:sz w:val="18"/>
                                  <w:lang w:val="en-US"/>
                                </w:rPr>
                              </w:pPr>
                              <w:r w:rsidRPr="00B74004">
                                <w:rPr>
                                  <w:rFonts w:ascii="Arial" w:hAnsi="Arial" w:cs="Arial"/>
                                  <w:color w:val="000000"/>
                                  <w:spacing w:val="-4"/>
                                  <w:sz w:val="18"/>
                                  <w:lang w:val="en-US"/>
                                </w:rPr>
                                <w:t>Labor Statistics</w:t>
                              </w:r>
                            </w:p>
                          </w:txbxContent>
                        </wps:txbx>
                        <wps:bodyPr rot="0" vert="horz" wrap="square" lIns="91440" tIns="45720" rIns="91440" bIns="45720" anchor="t" anchorCtr="0" upright="1">
                          <a:noAutofit/>
                        </wps:bodyPr>
                      </wps:wsp>
                      <wps:wsp>
                        <wps:cNvPr id="222" name="Freeform 364"/>
                        <wps:cNvSpPr>
                          <a:spLocks/>
                        </wps:cNvSpPr>
                        <wps:spPr bwMode="auto">
                          <a:xfrm>
                            <a:off x="1172326" y="0"/>
                            <a:ext cx="6225372" cy="2980447"/>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E4FC88" w14:textId="77777777" w:rsidR="00776E11" w:rsidRDefault="00776E11" w:rsidP="00776E11">
                              <w:pPr>
                                <w:tabs>
                                  <w:tab w:val="left" w:pos="2410"/>
                                </w:tabs>
                                <w:spacing w:after="0" w:line="240" w:lineRule="auto"/>
                                <w:rPr>
                                  <w:rFonts w:ascii="Arial" w:eastAsia="Arial" w:hAnsi="Arial" w:cs="Arial"/>
                                  <w:color w:val="0E3B70"/>
                                  <w:sz w:val="20"/>
                                  <w:szCs w:val="20"/>
                                </w:rPr>
                              </w:pPr>
                              <w:bookmarkStart w:id="3" w:name="_Hlk71807668"/>
                              <w:r w:rsidRPr="00B74004">
                                <w:rPr>
                                  <w:rFonts w:ascii="Arial" w:eastAsia="Arial" w:hAnsi="Arial" w:cs="Arial"/>
                                  <w:color w:val="0E3B70"/>
                                  <w:sz w:val="20"/>
                                  <w:szCs w:val="20"/>
                                </w:rPr>
                                <w:t>Εξέλιξη πληθωρισμού και δομικού πληθωρισμού (ετήσιες % μεταβολές)</w:t>
                              </w:r>
                              <w:bookmarkEnd w:id="3"/>
                              <w:r w:rsidRPr="00DC7D3B">
                                <w:rPr>
                                  <w:noProof/>
                                  <w:lang w:eastAsia="el-GR"/>
                                </w:rPr>
                                <w:drawing>
                                  <wp:inline distT="0" distB="0" distL="0" distR="0" wp14:anchorId="2F8BDA33" wp14:editId="233E9911">
                                    <wp:extent cx="5886450" cy="38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6450" cy="38100"/>
                                            </a:xfrm>
                                            <a:prstGeom prst="rect">
                                              <a:avLst/>
                                            </a:prstGeom>
                                            <a:noFill/>
                                            <a:ln>
                                              <a:noFill/>
                                            </a:ln>
                                          </pic:spPr>
                                        </pic:pic>
                                      </a:graphicData>
                                    </a:graphic>
                                  </wp:inline>
                                </w:drawing>
                              </w:r>
                            </w:p>
                            <w:p w14:paraId="3CB89DBC" w14:textId="77777777" w:rsidR="00776E11" w:rsidRDefault="00776E11" w:rsidP="00776E11">
                              <w:pPr>
                                <w:tabs>
                                  <w:tab w:val="left" w:pos="2410"/>
                                </w:tabs>
                                <w:spacing w:line="240" w:lineRule="auto"/>
                                <w:rPr>
                                  <w:noProof/>
                                </w:rPr>
                              </w:pPr>
                              <w:r w:rsidRPr="00181E75">
                                <w:rPr>
                                  <w:noProof/>
                                </w:rPr>
                                <w:t xml:space="preserve"> </w:t>
                              </w:r>
                              <w:r w:rsidRPr="001D7B02">
                                <w:rPr>
                                  <w:noProof/>
                                  <w:lang w:eastAsia="el-GR"/>
                                </w:rPr>
                                <w:drawing>
                                  <wp:inline distT="0" distB="0" distL="0" distR="0" wp14:anchorId="3382E00B" wp14:editId="3ED9C8AF">
                                    <wp:extent cx="5686425" cy="2705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p w14:paraId="11881535" w14:textId="77777777" w:rsidR="00776E11" w:rsidRDefault="00776E11" w:rsidP="00776E11">
                              <w:pPr>
                                <w:tabs>
                                  <w:tab w:val="left" w:pos="2410"/>
                                </w:tabs>
                                <w:spacing w:line="240" w:lineRule="auto"/>
                                <w:rPr>
                                  <w:noProof/>
                                </w:rPr>
                              </w:pPr>
                            </w:p>
                            <w:p w14:paraId="2CA258EA" w14:textId="77777777" w:rsidR="00776E11" w:rsidRDefault="00776E11" w:rsidP="00776E11">
                              <w:pPr>
                                <w:tabs>
                                  <w:tab w:val="left" w:pos="2410"/>
                                </w:tabs>
                                <w:spacing w:line="240" w:lineRule="auto"/>
                                <w:rPr>
                                  <w:noProof/>
                                </w:rPr>
                              </w:pPr>
                            </w:p>
                            <w:p w14:paraId="6B39C77F" w14:textId="77777777" w:rsidR="00776E11" w:rsidRDefault="00776E11" w:rsidP="00776E11">
                              <w:pPr>
                                <w:tabs>
                                  <w:tab w:val="left" w:pos="2410"/>
                                </w:tabs>
                                <w:spacing w:line="240" w:lineRule="auto"/>
                                <w:rPr>
                                  <w:noProof/>
                                </w:rPr>
                              </w:pPr>
                            </w:p>
                            <w:p w14:paraId="22A73FB6" w14:textId="77777777" w:rsidR="00776E11" w:rsidRDefault="00776E11" w:rsidP="00776E11">
                              <w:pPr>
                                <w:tabs>
                                  <w:tab w:val="left" w:pos="2410"/>
                                </w:tabs>
                                <w:spacing w:line="240" w:lineRule="auto"/>
                                <w:rPr>
                                  <w:noProof/>
                                </w:rPr>
                              </w:pPr>
                            </w:p>
                            <w:p w14:paraId="0543E43D" w14:textId="77777777" w:rsidR="00776E11" w:rsidRDefault="00776E11" w:rsidP="00776E11">
                              <w:pPr>
                                <w:tabs>
                                  <w:tab w:val="left" w:pos="2410"/>
                                </w:tabs>
                                <w:spacing w:line="240" w:lineRule="auto"/>
                                <w:rPr>
                                  <w:noProof/>
                                </w:rPr>
                              </w:pPr>
                            </w:p>
                            <w:p w14:paraId="1897B7B4" w14:textId="77777777" w:rsidR="00776E11" w:rsidRDefault="00776E11" w:rsidP="00776E11">
                              <w:pPr>
                                <w:tabs>
                                  <w:tab w:val="left" w:pos="2410"/>
                                </w:tabs>
                                <w:spacing w:line="240" w:lineRule="auto"/>
                                <w:rPr>
                                  <w:noProof/>
                                </w:rPr>
                              </w:pPr>
                            </w:p>
                            <w:p w14:paraId="0F6F2912" w14:textId="77777777" w:rsidR="00776E11" w:rsidRDefault="00776E11" w:rsidP="00776E11">
                              <w:pPr>
                                <w:tabs>
                                  <w:tab w:val="left" w:pos="2410"/>
                                </w:tabs>
                                <w:spacing w:line="240" w:lineRule="auto"/>
                                <w:rPr>
                                  <w:noProof/>
                                </w:rPr>
                              </w:pPr>
                            </w:p>
                            <w:p w14:paraId="36873F41" w14:textId="77777777" w:rsidR="00776E11" w:rsidRDefault="00776E11" w:rsidP="00776E11">
                              <w:pPr>
                                <w:tabs>
                                  <w:tab w:val="left" w:pos="2410"/>
                                </w:tabs>
                                <w:spacing w:line="240" w:lineRule="auto"/>
                                <w:rPr>
                                  <w:noProof/>
                                </w:rPr>
                              </w:pPr>
                            </w:p>
                            <w:p w14:paraId="7D925E6D" w14:textId="77777777" w:rsidR="00776E11" w:rsidRDefault="00776E11" w:rsidP="00776E11">
                              <w:pPr>
                                <w:tabs>
                                  <w:tab w:val="left" w:pos="2410"/>
                                </w:tabs>
                                <w:spacing w:line="240" w:lineRule="auto"/>
                                <w:rPr>
                                  <w:noProof/>
                                </w:rPr>
                              </w:pPr>
                            </w:p>
                            <w:p w14:paraId="733D762D" w14:textId="77777777" w:rsidR="00776E11" w:rsidRDefault="00776E11" w:rsidP="00776E11">
                              <w:pPr>
                                <w:tabs>
                                  <w:tab w:val="left" w:pos="2410"/>
                                </w:tabs>
                                <w:spacing w:line="240" w:lineRule="auto"/>
                                <w:rPr>
                                  <w:noProof/>
                                </w:rPr>
                              </w:pPr>
                            </w:p>
                            <w:p w14:paraId="17EBA2D9" w14:textId="77777777" w:rsidR="00776E11" w:rsidRDefault="00776E11" w:rsidP="00776E11">
                              <w:pPr>
                                <w:tabs>
                                  <w:tab w:val="left" w:pos="2410"/>
                                </w:tabs>
                                <w:spacing w:line="240" w:lineRule="auto"/>
                                <w:rPr>
                                  <w:noProof/>
                                </w:rPr>
                              </w:pPr>
                            </w:p>
                            <w:p w14:paraId="45D3141B" w14:textId="77777777" w:rsidR="00776E11" w:rsidRDefault="00776E11" w:rsidP="00776E11">
                              <w:pPr>
                                <w:tabs>
                                  <w:tab w:val="left" w:pos="2410"/>
                                </w:tabs>
                                <w:spacing w:line="240" w:lineRule="auto"/>
                                <w:rPr>
                                  <w:noProof/>
                                </w:rPr>
                              </w:pPr>
                            </w:p>
                            <w:p w14:paraId="4DB72F44" w14:textId="77777777" w:rsidR="00776E11" w:rsidRDefault="00776E11" w:rsidP="00776E11">
                              <w:pPr>
                                <w:tabs>
                                  <w:tab w:val="left" w:pos="2410"/>
                                </w:tabs>
                                <w:spacing w:line="240" w:lineRule="auto"/>
                                <w:rPr>
                                  <w:noProof/>
                                </w:rPr>
                              </w:pPr>
                            </w:p>
                            <w:p w14:paraId="079D2D48" w14:textId="77777777" w:rsidR="00776E11" w:rsidRDefault="00776E11" w:rsidP="00776E11">
                              <w:pPr>
                                <w:tabs>
                                  <w:tab w:val="left" w:pos="2410"/>
                                </w:tabs>
                                <w:spacing w:line="240" w:lineRule="auto"/>
                                <w:rPr>
                                  <w:noProof/>
                                </w:rPr>
                              </w:pPr>
                            </w:p>
                            <w:p w14:paraId="33DED403" w14:textId="77777777" w:rsidR="00776E11" w:rsidRDefault="00776E11" w:rsidP="00776E11">
                              <w:pPr>
                                <w:tabs>
                                  <w:tab w:val="left" w:pos="2410"/>
                                </w:tabs>
                                <w:spacing w:line="240" w:lineRule="auto"/>
                                <w:rPr>
                                  <w:noProof/>
                                </w:rPr>
                              </w:pPr>
                            </w:p>
                            <w:p w14:paraId="06783B0E" w14:textId="77777777" w:rsidR="00776E11" w:rsidRDefault="00776E11" w:rsidP="00776E11">
                              <w:pPr>
                                <w:tabs>
                                  <w:tab w:val="left" w:pos="2410"/>
                                </w:tabs>
                                <w:spacing w:line="240" w:lineRule="auto"/>
                                <w:rPr>
                                  <w:noProof/>
                                </w:rPr>
                              </w:pPr>
                            </w:p>
                            <w:p w14:paraId="4D7E31E5" w14:textId="77777777" w:rsidR="00776E11" w:rsidRDefault="00776E11" w:rsidP="00776E11">
                              <w:pPr>
                                <w:tabs>
                                  <w:tab w:val="left" w:pos="2410"/>
                                </w:tabs>
                                <w:spacing w:line="240" w:lineRule="auto"/>
                                <w:rPr>
                                  <w:noProof/>
                                </w:rPr>
                              </w:pPr>
                            </w:p>
                            <w:p w14:paraId="7D4D05AA" w14:textId="77777777" w:rsidR="00776E11" w:rsidRDefault="00776E11" w:rsidP="00776E11">
                              <w:pPr>
                                <w:tabs>
                                  <w:tab w:val="left" w:pos="2410"/>
                                </w:tabs>
                                <w:spacing w:line="240" w:lineRule="auto"/>
                                <w:rPr>
                                  <w:noProof/>
                                </w:rPr>
                              </w:pPr>
                            </w:p>
                            <w:p w14:paraId="0EDF450B" w14:textId="77777777" w:rsidR="00776E11" w:rsidRDefault="00776E11" w:rsidP="00776E11">
                              <w:pPr>
                                <w:tabs>
                                  <w:tab w:val="left" w:pos="2410"/>
                                </w:tabs>
                                <w:spacing w:line="240" w:lineRule="auto"/>
                                <w:rPr>
                                  <w:noProof/>
                                </w:rPr>
                              </w:pPr>
                            </w:p>
                            <w:p w14:paraId="26687B42" w14:textId="77777777" w:rsidR="00776E11" w:rsidRDefault="00776E11" w:rsidP="00776E11">
                              <w:pPr>
                                <w:tabs>
                                  <w:tab w:val="left" w:pos="2410"/>
                                </w:tabs>
                                <w:spacing w:line="240" w:lineRule="auto"/>
                                <w:rPr>
                                  <w:noProof/>
                                </w:rPr>
                              </w:pPr>
                            </w:p>
                            <w:p w14:paraId="114D58AA" w14:textId="77777777" w:rsidR="00776E11" w:rsidRDefault="00776E11" w:rsidP="00776E11">
                              <w:pPr>
                                <w:tabs>
                                  <w:tab w:val="left" w:pos="2410"/>
                                </w:tabs>
                                <w:spacing w:line="240" w:lineRule="auto"/>
                                <w:rPr>
                                  <w:noProof/>
                                </w:rPr>
                              </w:pPr>
                            </w:p>
                            <w:p w14:paraId="5F4F2262" w14:textId="77777777" w:rsidR="00776E11" w:rsidRDefault="00776E11" w:rsidP="00776E11">
                              <w:pPr>
                                <w:tabs>
                                  <w:tab w:val="left" w:pos="2410"/>
                                </w:tabs>
                                <w:spacing w:line="240" w:lineRule="auto"/>
                                <w:rPr>
                                  <w:noProof/>
                                </w:rPr>
                              </w:pPr>
                            </w:p>
                            <w:p w14:paraId="79E70561" w14:textId="77777777" w:rsidR="00776E11" w:rsidRDefault="00776E11" w:rsidP="00776E11">
                              <w:pPr>
                                <w:tabs>
                                  <w:tab w:val="left" w:pos="2410"/>
                                </w:tabs>
                                <w:spacing w:line="240" w:lineRule="auto"/>
                                <w:rPr>
                                  <w:noProof/>
                                </w:rPr>
                              </w:pPr>
                            </w:p>
                            <w:p w14:paraId="2EC65D24" w14:textId="77777777" w:rsidR="00776E11" w:rsidRDefault="00776E11" w:rsidP="00776E11">
                              <w:pPr>
                                <w:tabs>
                                  <w:tab w:val="left" w:pos="2410"/>
                                </w:tabs>
                                <w:spacing w:line="240" w:lineRule="auto"/>
                                <w:rPr>
                                  <w:noProof/>
                                </w:rPr>
                              </w:pPr>
                            </w:p>
                            <w:p w14:paraId="0AEFEE25" w14:textId="77777777" w:rsidR="00776E11" w:rsidRDefault="00776E11" w:rsidP="00776E11">
                              <w:pPr>
                                <w:tabs>
                                  <w:tab w:val="left" w:pos="2410"/>
                                </w:tabs>
                                <w:spacing w:line="240" w:lineRule="auto"/>
                                <w:rPr>
                                  <w:noProof/>
                                </w:rPr>
                              </w:pPr>
                            </w:p>
                            <w:p w14:paraId="318FC088" w14:textId="77777777" w:rsidR="00776E11" w:rsidRDefault="00776E11" w:rsidP="00776E11">
                              <w:pPr>
                                <w:tabs>
                                  <w:tab w:val="left" w:pos="2410"/>
                                </w:tabs>
                                <w:spacing w:line="240" w:lineRule="auto"/>
                                <w:rPr>
                                  <w:noProof/>
                                </w:rPr>
                              </w:pPr>
                            </w:p>
                            <w:p w14:paraId="72D9F8FF" w14:textId="77777777" w:rsidR="00776E11" w:rsidRDefault="00776E11" w:rsidP="00776E11">
                              <w:pPr>
                                <w:tabs>
                                  <w:tab w:val="left" w:pos="2410"/>
                                </w:tabs>
                                <w:spacing w:line="240" w:lineRule="auto"/>
                                <w:rPr>
                                  <w:noProof/>
                                </w:rPr>
                              </w:pPr>
                            </w:p>
                            <w:p w14:paraId="2F323571" w14:textId="77777777" w:rsidR="00776E11" w:rsidRDefault="00776E11" w:rsidP="00776E11">
                              <w:pPr>
                                <w:tabs>
                                  <w:tab w:val="left" w:pos="2410"/>
                                </w:tabs>
                                <w:spacing w:line="240" w:lineRule="auto"/>
                                <w:rPr>
                                  <w:noProof/>
                                </w:rPr>
                              </w:pPr>
                            </w:p>
                            <w:p w14:paraId="3438EB9F" w14:textId="77777777" w:rsidR="00776E11" w:rsidRDefault="00776E11" w:rsidP="00776E11">
                              <w:pPr>
                                <w:tabs>
                                  <w:tab w:val="left" w:pos="2410"/>
                                </w:tabs>
                                <w:spacing w:line="240" w:lineRule="auto"/>
                                <w:rPr>
                                  <w:noProof/>
                                </w:rPr>
                              </w:pPr>
                            </w:p>
                            <w:p w14:paraId="06B3F5C0" w14:textId="77777777" w:rsidR="00776E11" w:rsidRDefault="00776E11" w:rsidP="00776E11">
                              <w:pPr>
                                <w:tabs>
                                  <w:tab w:val="left" w:pos="2410"/>
                                </w:tabs>
                                <w:spacing w:line="240" w:lineRule="auto"/>
                                <w:rPr>
                                  <w:noProof/>
                                </w:rPr>
                              </w:pPr>
                            </w:p>
                            <w:p w14:paraId="40E78910" w14:textId="77777777" w:rsidR="00776E11" w:rsidRDefault="00776E11" w:rsidP="00776E11">
                              <w:pPr>
                                <w:tabs>
                                  <w:tab w:val="left" w:pos="2410"/>
                                </w:tabs>
                                <w:spacing w:line="240" w:lineRule="auto"/>
                                <w:rPr>
                                  <w:noProof/>
                                </w:rPr>
                              </w:pPr>
                            </w:p>
                            <w:p w14:paraId="0D81FB24" w14:textId="77777777" w:rsidR="00776E11" w:rsidRDefault="00776E11" w:rsidP="00776E11">
                              <w:pPr>
                                <w:tabs>
                                  <w:tab w:val="left" w:pos="2410"/>
                                </w:tabs>
                                <w:spacing w:line="240" w:lineRule="auto"/>
                                <w:rPr>
                                  <w:noProof/>
                                </w:rPr>
                              </w:pPr>
                            </w:p>
                            <w:p w14:paraId="4E8C3CC3" w14:textId="77777777" w:rsidR="00776E11" w:rsidRDefault="00776E11" w:rsidP="00776E11">
                              <w:pPr>
                                <w:tabs>
                                  <w:tab w:val="left" w:pos="2410"/>
                                </w:tabs>
                                <w:spacing w:line="240" w:lineRule="auto"/>
                                <w:rPr>
                                  <w:noProof/>
                                </w:rPr>
                              </w:pPr>
                            </w:p>
                            <w:p w14:paraId="7503F6E1" w14:textId="77777777" w:rsidR="00776E11" w:rsidRDefault="00776E11" w:rsidP="00776E11">
                              <w:pPr>
                                <w:tabs>
                                  <w:tab w:val="left" w:pos="2410"/>
                                </w:tabs>
                                <w:spacing w:line="240" w:lineRule="auto"/>
                                <w:rPr>
                                  <w:noProof/>
                                </w:rPr>
                              </w:pPr>
                            </w:p>
                            <w:p w14:paraId="3423011D" w14:textId="77777777" w:rsidR="00776E11" w:rsidRDefault="00776E11" w:rsidP="00776E11">
                              <w:pPr>
                                <w:tabs>
                                  <w:tab w:val="left" w:pos="2410"/>
                                </w:tabs>
                                <w:spacing w:line="240" w:lineRule="auto"/>
                                <w:rPr>
                                  <w:noProof/>
                                </w:rPr>
                              </w:pPr>
                            </w:p>
                            <w:p w14:paraId="3DEE7440" w14:textId="77777777" w:rsidR="00776E11" w:rsidRDefault="00776E11" w:rsidP="00776E11">
                              <w:pPr>
                                <w:tabs>
                                  <w:tab w:val="left" w:pos="2410"/>
                                </w:tabs>
                                <w:spacing w:line="240" w:lineRule="auto"/>
                                <w:rPr>
                                  <w:noProof/>
                                </w:rPr>
                              </w:pPr>
                            </w:p>
                            <w:p w14:paraId="7FEE965C" w14:textId="77777777" w:rsidR="00776E11" w:rsidRDefault="00776E11" w:rsidP="00776E11">
                              <w:pPr>
                                <w:tabs>
                                  <w:tab w:val="left" w:pos="2410"/>
                                </w:tabs>
                                <w:spacing w:line="240" w:lineRule="auto"/>
                                <w:rPr>
                                  <w:noProof/>
                                </w:rPr>
                              </w:pPr>
                            </w:p>
                            <w:p w14:paraId="7F0B42D3" w14:textId="77777777" w:rsidR="00776E11" w:rsidRDefault="00776E11" w:rsidP="00776E11">
                              <w:pPr>
                                <w:tabs>
                                  <w:tab w:val="left" w:pos="2410"/>
                                </w:tabs>
                                <w:spacing w:line="240" w:lineRule="auto"/>
                                <w:rPr>
                                  <w:noProof/>
                                </w:rPr>
                              </w:pPr>
                            </w:p>
                            <w:p w14:paraId="6E0F9F25" w14:textId="77777777" w:rsidR="00776E11" w:rsidRDefault="00776E11" w:rsidP="00776E11">
                              <w:pPr>
                                <w:tabs>
                                  <w:tab w:val="left" w:pos="2410"/>
                                </w:tabs>
                                <w:spacing w:line="240" w:lineRule="auto"/>
                                <w:rPr>
                                  <w:noProof/>
                                </w:rPr>
                              </w:pPr>
                            </w:p>
                            <w:p w14:paraId="68595071" w14:textId="77777777" w:rsidR="00776E11" w:rsidRDefault="00776E11" w:rsidP="00776E11">
                              <w:pPr>
                                <w:tabs>
                                  <w:tab w:val="left" w:pos="2410"/>
                                </w:tabs>
                                <w:spacing w:line="240" w:lineRule="auto"/>
                                <w:rPr>
                                  <w:noProof/>
                                </w:rPr>
                              </w:pPr>
                            </w:p>
                            <w:p w14:paraId="456FDE96" w14:textId="77777777" w:rsidR="00776E11" w:rsidRDefault="00776E11" w:rsidP="00776E11">
                              <w:pPr>
                                <w:tabs>
                                  <w:tab w:val="left" w:pos="2410"/>
                                </w:tabs>
                                <w:spacing w:line="240" w:lineRule="auto"/>
                                <w:rPr>
                                  <w:noProof/>
                                </w:rPr>
                              </w:pPr>
                            </w:p>
                            <w:p w14:paraId="6FBAEAAB" w14:textId="77777777" w:rsidR="00776E11" w:rsidRDefault="00776E11" w:rsidP="00776E11">
                              <w:pPr>
                                <w:tabs>
                                  <w:tab w:val="left" w:pos="2410"/>
                                </w:tabs>
                                <w:spacing w:line="240" w:lineRule="auto"/>
                                <w:rPr>
                                  <w:noProof/>
                                </w:rPr>
                              </w:pPr>
                            </w:p>
                            <w:p w14:paraId="70C99B94" w14:textId="77777777" w:rsidR="00776E11" w:rsidRDefault="00776E11" w:rsidP="00776E11">
                              <w:pPr>
                                <w:tabs>
                                  <w:tab w:val="left" w:pos="2410"/>
                                </w:tabs>
                                <w:spacing w:line="240" w:lineRule="auto"/>
                                <w:rPr>
                                  <w:noProof/>
                                </w:rPr>
                              </w:pPr>
                            </w:p>
                            <w:p w14:paraId="0162678B" w14:textId="77777777" w:rsidR="00776E11" w:rsidRDefault="00776E11" w:rsidP="00776E11">
                              <w:pPr>
                                <w:tabs>
                                  <w:tab w:val="left" w:pos="2410"/>
                                </w:tabs>
                                <w:spacing w:line="240" w:lineRule="auto"/>
                                <w:rPr>
                                  <w:noProof/>
                                </w:rPr>
                              </w:pPr>
                            </w:p>
                            <w:p w14:paraId="372AECD4" w14:textId="77777777" w:rsidR="00776E11" w:rsidRDefault="00776E11" w:rsidP="00776E11">
                              <w:pPr>
                                <w:tabs>
                                  <w:tab w:val="left" w:pos="2410"/>
                                </w:tabs>
                                <w:spacing w:line="240" w:lineRule="auto"/>
                                <w:rPr>
                                  <w:noProof/>
                                </w:rPr>
                              </w:pPr>
                            </w:p>
                            <w:p w14:paraId="04CC56BD" w14:textId="77777777" w:rsidR="00776E11" w:rsidRDefault="00776E11" w:rsidP="00776E11">
                              <w:pPr>
                                <w:tabs>
                                  <w:tab w:val="left" w:pos="2410"/>
                                </w:tabs>
                                <w:spacing w:line="240" w:lineRule="auto"/>
                                <w:rPr>
                                  <w:noProof/>
                                </w:rPr>
                              </w:pPr>
                            </w:p>
                            <w:p w14:paraId="2E2847CF" w14:textId="77777777" w:rsidR="00776E11" w:rsidRDefault="00776E11" w:rsidP="00776E11">
                              <w:pPr>
                                <w:tabs>
                                  <w:tab w:val="left" w:pos="2410"/>
                                </w:tabs>
                                <w:spacing w:line="240" w:lineRule="auto"/>
                                <w:rPr>
                                  <w:noProof/>
                                </w:rPr>
                              </w:pPr>
                            </w:p>
                            <w:p w14:paraId="5A579E0C" w14:textId="77777777" w:rsidR="00776E11" w:rsidRDefault="00776E11" w:rsidP="00776E11">
                              <w:pPr>
                                <w:tabs>
                                  <w:tab w:val="left" w:pos="2410"/>
                                </w:tabs>
                                <w:spacing w:line="240" w:lineRule="auto"/>
                                <w:rPr>
                                  <w:noProof/>
                                </w:rPr>
                              </w:pPr>
                            </w:p>
                            <w:p w14:paraId="6E5727FF" w14:textId="77777777" w:rsidR="00776E11" w:rsidRDefault="00776E11" w:rsidP="00776E11">
                              <w:pPr>
                                <w:tabs>
                                  <w:tab w:val="left" w:pos="2410"/>
                                </w:tabs>
                                <w:spacing w:line="240" w:lineRule="auto"/>
                                <w:rPr>
                                  <w:noProof/>
                                </w:rPr>
                              </w:pPr>
                            </w:p>
                            <w:p w14:paraId="20A64239" w14:textId="77777777" w:rsidR="00776E11" w:rsidRDefault="00776E11" w:rsidP="00776E11">
                              <w:pPr>
                                <w:tabs>
                                  <w:tab w:val="left" w:pos="2410"/>
                                </w:tabs>
                                <w:spacing w:line="240" w:lineRule="auto"/>
                                <w:rPr>
                                  <w:noProof/>
                                </w:rPr>
                              </w:pPr>
                            </w:p>
                            <w:p w14:paraId="25473D6E" w14:textId="77777777" w:rsidR="00776E11" w:rsidRDefault="00776E11" w:rsidP="00776E11">
                              <w:pPr>
                                <w:tabs>
                                  <w:tab w:val="left" w:pos="2410"/>
                                </w:tabs>
                                <w:spacing w:line="240" w:lineRule="auto"/>
                                <w:rPr>
                                  <w:noProof/>
                                </w:rPr>
                              </w:pPr>
                            </w:p>
                            <w:p w14:paraId="390C6BB2" w14:textId="77777777" w:rsidR="00776E11" w:rsidRDefault="00776E11" w:rsidP="00776E11">
                              <w:pPr>
                                <w:tabs>
                                  <w:tab w:val="left" w:pos="2410"/>
                                </w:tabs>
                                <w:spacing w:line="240" w:lineRule="auto"/>
                                <w:rPr>
                                  <w:noProof/>
                                </w:rPr>
                              </w:pPr>
                            </w:p>
                            <w:p w14:paraId="2C8C5120" w14:textId="77777777" w:rsidR="00776E11" w:rsidRDefault="00776E11" w:rsidP="00776E11">
                              <w:pPr>
                                <w:tabs>
                                  <w:tab w:val="left" w:pos="2410"/>
                                </w:tabs>
                                <w:spacing w:line="240" w:lineRule="auto"/>
                                <w:rPr>
                                  <w:noProof/>
                                </w:rPr>
                              </w:pPr>
                            </w:p>
                            <w:p w14:paraId="1E10FAB7" w14:textId="77777777" w:rsidR="00776E11" w:rsidRDefault="00776E11" w:rsidP="00776E11">
                              <w:pPr>
                                <w:tabs>
                                  <w:tab w:val="left" w:pos="2410"/>
                                </w:tabs>
                                <w:spacing w:line="240" w:lineRule="auto"/>
                                <w:rPr>
                                  <w:noProof/>
                                </w:rPr>
                              </w:pPr>
                            </w:p>
                            <w:p w14:paraId="0C6EF9E7" w14:textId="77777777" w:rsidR="00776E11" w:rsidRDefault="00776E11" w:rsidP="00776E11">
                              <w:pPr>
                                <w:tabs>
                                  <w:tab w:val="left" w:pos="2410"/>
                                </w:tabs>
                                <w:spacing w:line="240" w:lineRule="auto"/>
                                <w:rPr>
                                  <w:noProof/>
                                </w:rPr>
                              </w:pPr>
                            </w:p>
                            <w:p w14:paraId="1875C7F8" w14:textId="77777777" w:rsidR="00776E11" w:rsidRDefault="00776E11" w:rsidP="00776E11">
                              <w:pPr>
                                <w:tabs>
                                  <w:tab w:val="left" w:pos="2410"/>
                                </w:tabs>
                                <w:spacing w:line="240" w:lineRule="auto"/>
                                <w:rPr>
                                  <w:noProof/>
                                </w:rPr>
                              </w:pPr>
                            </w:p>
                            <w:p w14:paraId="79853FA5" w14:textId="77777777" w:rsidR="00776E11" w:rsidRDefault="00776E11" w:rsidP="00776E11">
                              <w:pPr>
                                <w:tabs>
                                  <w:tab w:val="left" w:pos="2410"/>
                                </w:tabs>
                                <w:spacing w:line="240" w:lineRule="auto"/>
                                <w:rPr>
                                  <w:noProof/>
                                </w:rPr>
                              </w:pPr>
                            </w:p>
                            <w:p w14:paraId="07E792E2" w14:textId="77777777" w:rsidR="00776E11" w:rsidRDefault="00776E11" w:rsidP="00776E11">
                              <w:pPr>
                                <w:tabs>
                                  <w:tab w:val="left" w:pos="2410"/>
                                </w:tabs>
                                <w:spacing w:line="240" w:lineRule="auto"/>
                                <w:rPr>
                                  <w:noProof/>
                                </w:rPr>
                              </w:pPr>
                            </w:p>
                            <w:p w14:paraId="59FA97FB" w14:textId="77777777" w:rsidR="00776E11" w:rsidRDefault="00776E11" w:rsidP="00776E11">
                              <w:pPr>
                                <w:tabs>
                                  <w:tab w:val="left" w:pos="2410"/>
                                </w:tabs>
                                <w:spacing w:line="240" w:lineRule="auto"/>
                                <w:rPr>
                                  <w:noProof/>
                                </w:rPr>
                              </w:pPr>
                            </w:p>
                            <w:p w14:paraId="7DA554A4" w14:textId="77777777" w:rsidR="00776E11" w:rsidRDefault="00776E11" w:rsidP="00776E11">
                              <w:pPr>
                                <w:tabs>
                                  <w:tab w:val="left" w:pos="2410"/>
                                </w:tabs>
                                <w:spacing w:line="240" w:lineRule="auto"/>
                                <w:rPr>
                                  <w:noProof/>
                                </w:rPr>
                              </w:pPr>
                            </w:p>
                            <w:p w14:paraId="4AAD1D53" w14:textId="77777777" w:rsidR="00776E11" w:rsidRDefault="00776E11" w:rsidP="00776E11">
                              <w:pPr>
                                <w:tabs>
                                  <w:tab w:val="left" w:pos="2410"/>
                                </w:tabs>
                                <w:spacing w:line="240" w:lineRule="auto"/>
                                <w:rPr>
                                  <w:noProof/>
                                </w:rPr>
                              </w:pPr>
                            </w:p>
                            <w:p w14:paraId="6E4ADBD5" w14:textId="77777777" w:rsidR="00776E11" w:rsidRDefault="00776E11" w:rsidP="00776E11">
                              <w:pPr>
                                <w:tabs>
                                  <w:tab w:val="left" w:pos="2410"/>
                                </w:tabs>
                                <w:spacing w:line="240" w:lineRule="auto"/>
                                <w:rPr>
                                  <w:noProof/>
                                </w:rPr>
                              </w:pPr>
                            </w:p>
                            <w:p w14:paraId="48E05CAF" w14:textId="77777777" w:rsidR="00776E11" w:rsidRDefault="00776E11" w:rsidP="00776E11">
                              <w:pPr>
                                <w:tabs>
                                  <w:tab w:val="left" w:pos="2410"/>
                                </w:tabs>
                                <w:spacing w:line="240" w:lineRule="auto"/>
                                <w:rPr>
                                  <w:noProof/>
                                </w:rPr>
                              </w:pPr>
                            </w:p>
                            <w:p w14:paraId="62508B66" w14:textId="77777777" w:rsidR="00776E11" w:rsidRDefault="00776E11" w:rsidP="00776E11">
                              <w:pPr>
                                <w:tabs>
                                  <w:tab w:val="left" w:pos="2410"/>
                                </w:tabs>
                                <w:spacing w:line="240" w:lineRule="auto"/>
                                <w:rPr>
                                  <w:noProof/>
                                </w:rPr>
                              </w:pPr>
                            </w:p>
                            <w:p w14:paraId="4700C27D" w14:textId="77777777" w:rsidR="00776E11" w:rsidRDefault="00776E11" w:rsidP="00776E11">
                              <w:pPr>
                                <w:tabs>
                                  <w:tab w:val="left" w:pos="2410"/>
                                </w:tabs>
                                <w:spacing w:line="240" w:lineRule="auto"/>
                                <w:rPr>
                                  <w:noProof/>
                                </w:rPr>
                              </w:pPr>
                            </w:p>
                            <w:p w14:paraId="0332079C" w14:textId="77777777" w:rsidR="00776E11" w:rsidRDefault="00776E11" w:rsidP="00776E11">
                              <w:pPr>
                                <w:tabs>
                                  <w:tab w:val="left" w:pos="2410"/>
                                </w:tabs>
                                <w:spacing w:line="240" w:lineRule="auto"/>
                                <w:rPr>
                                  <w:noProof/>
                                </w:rPr>
                              </w:pPr>
                            </w:p>
                            <w:p w14:paraId="315AA91D" w14:textId="77777777" w:rsidR="00776E11" w:rsidRDefault="00776E11" w:rsidP="00776E11">
                              <w:pPr>
                                <w:tabs>
                                  <w:tab w:val="left" w:pos="2410"/>
                                </w:tabs>
                                <w:spacing w:line="240" w:lineRule="auto"/>
                                <w:rPr>
                                  <w:rFonts w:ascii="Arial" w:hAnsi="Arial" w:cs="Arial"/>
                                  <w:sz w:val="20"/>
                                </w:rPr>
                              </w:pPr>
                            </w:p>
                            <w:p w14:paraId="7E169546" w14:textId="77777777" w:rsidR="00776E11" w:rsidRDefault="00776E11" w:rsidP="00776E11">
                              <w:pPr>
                                <w:tabs>
                                  <w:tab w:val="left" w:pos="2410"/>
                                </w:tabs>
                                <w:spacing w:line="240" w:lineRule="auto"/>
                                <w:rPr>
                                  <w:rFonts w:ascii="Arial" w:hAnsi="Arial" w:cs="Arial"/>
                                  <w:sz w:val="20"/>
                                </w:rPr>
                              </w:pPr>
                            </w:p>
                            <w:p w14:paraId="4369AA2C" w14:textId="77777777" w:rsidR="00776E11" w:rsidRDefault="00776E11" w:rsidP="00776E11">
                              <w:pPr>
                                <w:tabs>
                                  <w:tab w:val="left" w:pos="2410"/>
                                </w:tabs>
                                <w:spacing w:line="240" w:lineRule="auto"/>
                                <w:rPr>
                                  <w:rFonts w:ascii="Arial" w:hAnsi="Arial" w:cs="Arial"/>
                                  <w:sz w:val="20"/>
                                </w:rPr>
                              </w:pPr>
                            </w:p>
                            <w:p w14:paraId="47B22AAF" w14:textId="77777777" w:rsidR="00776E11" w:rsidRDefault="00776E11" w:rsidP="00776E11">
                              <w:pPr>
                                <w:tabs>
                                  <w:tab w:val="left" w:pos="2410"/>
                                </w:tabs>
                                <w:spacing w:line="240" w:lineRule="auto"/>
                                <w:rPr>
                                  <w:rFonts w:ascii="Arial" w:hAnsi="Arial" w:cs="Arial"/>
                                  <w:sz w:val="20"/>
                                </w:rPr>
                              </w:pPr>
                            </w:p>
                            <w:p w14:paraId="191C471B" w14:textId="77777777" w:rsidR="00776E11" w:rsidRDefault="00776E11" w:rsidP="00776E11">
                              <w:pPr>
                                <w:tabs>
                                  <w:tab w:val="left" w:pos="2410"/>
                                </w:tabs>
                                <w:spacing w:line="240" w:lineRule="auto"/>
                                <w:rPr>
                                  <w:rFonts w:ascii="Arial" w:hAnsi="Arial" w:cs="Arial"/>
                                  <w:sz w:val="20"/>
                                </w:rPr>
                              </w:pPr>
                            </w:p>
                            <w:p w14:paraId="6CE08DE1" w14:textId="77777777" w:rsidR="00776E11" w:rsidRDefault="00776E11" w:rsidP="00776E11">
                              <w:pPr>
                                <w:tabs>
                                  <w:tab w:val="left" w:pos="2410"/>
                                </w:tabs>
                                <w:spacing w:line="240" w:lineRule="auto"/>
                                <w:rPr>
                                  <w:rFonts w:ascii="Arial" w:hAnsi="Arial" w:cs="Arial"/>
                                  <w:sz w:val="20"/>
                                </w:rPr>
                              </w:pPr>
                            </w:p>
                            <w:p w14:paraId="7DAFDDFB" w14:textId="77777777" w:rsidR="00776E11" w:rsidRDefault="00776E11" w:rsidP="00776E11">
                              <w:pPr>
                                <w:tabs>
                                  <w:tab w:val="left" w:pos="2410"/>
                                </w:tabs>
                                <w:spacing w:line="240" w:lineRule="auto"/>
                                <w:rPr>
                                  <w:rFonts w:ascii="Arial" w:hAnsi="Arial" w:cs="Arial"/>
                                  <w:sz w:val="20"/>
                                </w:rPr>
                              </w:pPr>
                            </w:p>
                            <w:p w14:paraId="5EE3E017" w14:textId="77777777" w:rsidR="00776E11" w:rsidRDefault="00776E11" w:rsidP="00776E11">
                              <w:pPr>
                                <w:tabs>
                                  <w:tab w:val="left" w:pos="2410"/>
                                </w:tabs>
                                <w:spacing w:line="240" w:lineRule="auto"/>
                                <w:rPr>
                                  <w:rFonts w:ascii="Arial" w:hAnsi="Arial" w:cs="Arial"/>
                                  <w:sz w:val="20"/>
                                </w:rPr>
                              </w:pPr>
                            </w:p>
                            <w:p w14:paraId="6718C093" w14:textId="77777777" w:rsidR="00776E11" w:rsidRDefault="00776E11" w:rsidP="00776E11">
                              <w:pPr>
                                <w:tabs>
                                  <w:tab w:val="left" w:pos="2410"/>
                                </w:tabs>
                                <w:spacing w:line="240" w:lineRule="auto"/>
                                <w:rPr>
                                  <w:rFonts w:ascii="Arial" w:hAnsi="Arial" w:cs="Arial"/>
                                  <w:sz w:val="20"/>
                                </w:rPr>
                              </w:pPr>
                            </w:p>
                            <w:p w14:paraId="3BA0A8A9" w14:textId="77777777" w:rsidR="00776E11" w:rsidRDefault="00776E11" w:rsidP="00776E11">
                              <w:pPr>
                                <w:tabs>
                                  <w:tab w:val="left" w:pos="2410"/>
                                </w:tabs>
                                <w:spacing w:line="240" w:lineRule="auto"/>
                                <w:rPr>
                                  <w:rFonts w:ascii="Arial" w:hAnsi="Arial" w:cs="Arial"/>
                                  <w:sz w:val="20"/>
                                </w:rPr>
                              </w:pPr>
                            </w:p>
                            <w:p w14:paraId="1D732C65" w14:textId="77777777" w:rsidR="00776E11" w:rsidRDefault="00776E11" w:rsidP="00776E11">
                              <w:pPr>
                                <w:tabs>
                                  <w:tab w:val="left" w:pos="2410"/>
                                </w:tabs>
                                <w:spacing w:line="240" w:lineRule="auto"/>
                                <w:rPr>
                                  <w:rFonts w:ascii="Arial" w:hAnsi="Arial" w:cs="Arial"/>
                                  <w:sz w:val="20"/>
                                </w:rPr>
                              </w:pPr>
                            </w:p>
                            <w:p w14:paraId="667ADFBA" w14:textId="77777777" w:rsidR="00776E11" w:rsidRDefault="00776E11" w:rsidP="00776E11">
                              <w:pPr>
                                <w:tabs>
                                  <w:tab w:val="left" w:pos="2410"/>
                                </w:tabs>
                                <w:spacing w:line="240" w:lineRule="auto"/>
                                <w:rPr>
                                  <w:rFonts w:ascii="Arial" w:hAnsi="Arial" w:cs="Arial"/>
                                  <w:sz w:val="20"/>
                                </w:rPr>
                              </w:pPr>
                            </w:p>
                            <w:p w14:paraId="12E5D5E3" w14:textId="77777777" w:rsidR="00776E11" w:rsidRDefault="00776E11" w:rsidP="00776E11">
                              <w:pPr>
                                <w:tabs>
                                  <w:tab w:val="left" w:pos="2410"/>
                                </w:tabs>
                                <w:spacing w:line="240" w:lineRule="auto"/>
                                <w:rPr>
                                  <w:rFonts w:ascii="Arial" w:hAnsi="Arial" w:cs="Arial"/>
                                  <w:sz w:val="20"/>
                                </w:rPr>
                              </w:pPr>
                            </w:p>
                            <w:p w14:paraId="164B2DD9" w14:textId="77777777" w:rsidR="00776E11" w:rsidRDefault="00776E11" w:rsidP="00776E11">
                              <w:pPr>
                                <w:tabs>
                                  <w:tab w:val="left" w:pos="2410"/>
                                </w:tabs>
                                <w:spacing w:line="240" w:lineRule="auto"/>
                                <w:rPr>
                                  <w:rFonts w:ascii="Arial" w:hAnsi="Arial" w:cs="Arial"/>
                                  <w:sz w:val="20"/>
                                </w:rPr>
                              </w:pPr>
                            </w:p>
                            <w:p w14:paraId="5D2AA324" w14:textId="77777777" w:rsidR="00776E11" w:rsidRDefault="00776E11" w:rsidP="00776E11">
                              <w:pPr>
                                <w:tabs>
                                  <w:tab w:val="left" w:pos="2410"/>
                                </w:tabs>
                                <w:spacing w:line="240" w:lineRule="auto"/>
                                <w:rPr>
                                  <w:rFonts w:ascii="Arial" w:hAnsi="Arial" w:cs="Arial"/>
                                  <w:sz w:val="20"/>
                                </w:rPr>
                              </w:pPr>
                            </w:p>
                            <w:p w14:paraId="47C17697" w14:textId="77777777" w:rsidR="00776E11" w:rsidRDefault="00776E11" w:rsidP="00776E11">
                              <w:pPr>
                                <w:tabs>
                                  <w:tab w:val="left" w:pos="2410"/>
                                </w:tabs>
                                <w:spacing w:line="240" w:lineRule="auto"/>
                                <w:rPr>
                                  <w:rFonts w:ascii="Arial" w:hAnsi="Arial" w:cs="Arial"/>
                                  <w:sz w:val="20"/>
                                </w:rPr>
                              </w:pPr>
                            </w:p>
                            <w:p w14:paraId="63EF68E1" w14:textId="77777777" w:rsidR="00776E11" w:rsidRDefault="00776E11" w:rsidP="00776E11">
                              <w:pPr>
                                <w:tabs>
                                  <w:tab w:val="left" w:pos="2410"/>
                                </w:tabs>
                                <w:spacing w:line="240" w:lineRule="auto"/>
                                <w:rPr>
                                  <w:rFonts w:ascii="Arial" w:hAnsi="Arial" w:cs="Arial"/>
                                  <w:sz w:val="20"/>
                                </w:rPr>
                              </w:pPr>
                            </w:p>
                            <w:p w14:paraId="72975A66" w14:textId="77777777" w:rsidR="00776E11" w:rsidRDefault="00776E11" w:rsidP="00776E11">
                              <w:pPr>
                                <w:tabs>
                                  <w:tab w:val="left" w:pos="2410"/>
                                </w:tabs>
                                <w:spacing w:line="240" w:lineRule="auto"/>
                                <w:rPr>
                                  <w:rFonts w:ascii="Arial" w:hAnsi="Arial" w:cs="Arial"/>
                                  <w:sz w:val="20"/>
                                </w:rPr>
                              </w:pPr>
                            </w:p>
                            <w:p w14:paraId="3373F304" w14:textId="77777777" w:rsidR="00776E11" w:rsidRDefault="00776E11" w:rsidP="00776E11">
                              <w:pPr>
                                <w:tabs>
                                  <w:tab w:val="left" w:pos="2410"/>
                                </w:tabs>
                                <w:spacing w:line="240" w:lineRule="auto"/>
                                <w:rPr>
                                  <w:rFonts w:ascii="Arial" w:hAnsi="Arial" w:cs="Arial"/>
                                  <w:sz w:val="20"/>
                                </w:rPr>
                              </w:pPr>
                            </w:p>
                            <w:p w14:paraId="023EB2F4" w14:textId="77777777" w:rsidR="00776E11" w:rsidRDefault="00776E11" w:rsidP="00776E11">
                              <w:pPr>
                                <w:tabs>
                                  <w:tab w:val="left" w:pos="2410"/>
                                </w:tabs>
                                <w:spacing w:line="240" w:lineRule="auto"/>
                                <w:rPr>
                                  <w:rFonts w:ascii="Arial" w:hAnsi="Arial" w:cs="Arial"/>
                                  <w:sz w:val="20"/>
                                </w:rPr>
                              </w:pPr>
                            </w:p>
                            <w:p w14:paraId="3A63ED98" w14:textId="77777777" w:rsidR="00776E11" w:rsidRPr="00D743CB" w:rsidRDefault="00776E11" w:rsidP="00776E11">
                              <w:pPr>
                                <w:tabs>
                                  <w:tab w:val="left" w:pos="2410"/>
                                </w:tabs>
                                <w:spacing w:line="240" w:lineRule="auto"/>
                                <w:rPr>
                                  <w:rFonts w:ascii="Arial" w:hAnsi="Arial" w:cs="Arial"/>
                                  <w:sz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8C9A69" id="Group 220" o:spid="_x0000_s1044" style="position:absolute;left:0;text-align:left;margin-left:0;margin-top:1.85pt;width:566.05pt;height:235.25pt;z-index:-251636736;mso-position-horizontal-relative:margin;mso-width-relative:margin;mso-height-relative:margin" coordsize="73976,2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">
                <v:rect id="Rectangle 24" o:spid="_x0000_s1045" style="position:absolute;width:10442;height:29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" fillcolor="#e5e4de" stroked="f">
                  <v:textbox>
                    <w:txbxContent>
                      <w:p w14:paraId="25463F66" w14:textId="77777777" w:rsidR="00776E11" w:rsidRPr="00D83634" w:rsidRDefault="00776E11" w:rsidP="00776E11">
                        <w:pPr>
                          <w:jc w:val="center"/>
                          <w:rPr>
                            <w:rFonts w:ascii="Arial" w:hAnsi="Arial" w:cs="Arial"/>
                            <w:color w:val="E24C37"/>
                            <w:spacing w:val="-4"/>
                            <w:sz w:val="18"/>
                            <w:lang w:val="en-US"/>
                          </w:rPr>
                        </w:pPr>
                        <w:r w:rsidRPr="000A52F8">
                          <w:rPr>
                            <w:rFonts w:ascii="Arial" w:hAnsi="Arial" w:cs="Arial"/>
                            <w:color w:val="E24C37"/>
                            <w:spacing w:val="-4"/>
                            <w:sz w:val="18"/>
                            <w:lang w:val="en-US"/>
                          </w:rPr>
                          <w:br/>
                        </w:r>
                        <w:r w:rsidRPr="008F60AF">
                          <w:rPr>
                            <w:rFonts w:ascii="Arial" w:hAnsi="Arial" w:cs="Arial"/>
                            <w:color w:val="E24C37"/>
                            <w:spacing w:val="-4"/>
                            <w:sz w:val="18"/>
                            <w:lang w:val="en-US"/>
                          </w:rPr>
                          <w:t xml:space="preserve"> </w:t>
                        </w:r>
                        <w:r w:rsidRPr="000753F7">
                          <w:rPr>
                            <w:rFonts w:ascii="Arial" w:hAnsi="Arial" w:cs="Arial"/>
                            <w:color w:val="E24C37"/>
                            <w:spacing w:val="-4"/>
                            <w:sz w:val="18"/>
                          </w:rPr>
                          <w:t>ΓΡΑΦΗΜΑ</w:t>
                        </w:r>
                        <w:r w:rsidRPr="000A52F8">
                          <w:rPr>
                            <w:rFonts w:ascii="Arial" w:hAnsi="Arial" w:cs="Arial"/>
                            <w:color w:val="E24C37"/>
                            <w:spacing w:val="-4"/>
                            <w:sz w:val="18"/>
                            <w:lang w:val="en-US"/>
                          </w:rPr>
                          <w:t xml:space="preserve"> </w:t>
                        </w:r>
                        <w:r>
                          <w:rPr>
                            <w:rFonts w:ascii="Arial" w:hAnsi="Arial" w:cs="Arial"/>
                            <w:color w:val="E24C37"/>
                            <w:spacing w:val="-4"/>
                            <w:sz w:val="18"/>
                            <w:lang w:val="en-US"/>
                          </w:rPr>
                          <w:t>7</w:t>
                        </w:r>
                      </w:p>
                      <w:p w14:paraId="12FAFE2E" w14:textId="77777777" w:rsidR="00776E11" w:rsidRPr="008F60AF" w:rsidRDefault="00776E11" w:rsidP="00776E11">
                        <w:pPr>
                          <w:jc w:val="center"/>
                          <w:rPr>
                            <w:rFonts w:ascii="Arial" w:hAnsi="Arial" w:cs="Arial"/>
                            <w:color w:val="E24C37"/>
                            <w:spacing w:val="-4"/>
                            <w:sz w:val="18"/>
                            <w:lang w:val="en-US"/>
                          </w:rPr>
                        </w:pPr>
                        <w:r w:rsidRPr="005F4E34">
                          <w:rPr>
                            <w:rFonts w:ascii="Arial" w:hAnsi="Arial" w:cs="Arial"/>
                            <w:color w:val="E24C37"/>
                            <w:spacing w:val="-4"/>
                            <w:sz w:val="18"/>
                            <w:lang w:val="en-US"/>
                          </w:rPr>
                          <w:t xml:space="preserve"> </w:t>
                        </w:r>
                      </w:p>
                      <w:p w14:paraId="41F5E12F" w14:textId="77777777" w:rsidR="00776E11" w:rsidRPr="000A52F8" w:rsidRDefault="00776E11" w:rsidP="00776E11">
                        <w:pPr>
                          <w:jc w:val="center"/>
                          <w:rPr>
                            <w:rFonts w:ascii="Arial" w:hAnsi="Arial" w:cs="Arial"/>
                            <w:color w:val="E24C37"/>
                            <w:spacing w:val="-4"/>
                            <w:sz w:val="18"/>
                            <w:lang w:val="en-US"/>
                          </w:rPr>
                        </w:pPr>
                      </w:p>
                      <w:p w14:paraId="10CCA3F1" w14:textId="77777777" w:rsidR="00776E11" w:rsidRPr="000A52F8" w:rsidRDefault="00776E11" w:rsidP="00776E11">
                        <w:pPr>
                          <w:jc w:val="center"/>
                          <w:rPr>
                            <w:rFonts w:ascii="Arial" w:hAnsi="Arial" w:cs="Arial"/>
                            <w:color w:val="E24C37"/>
                            <w:spacing w:val="-4"/>
                            <w:sz w:val="18"/>
                            <w:lang w:val="en-US"/>
                          </w:rPr>
                        </w:pPr>
                      </w:p>
                      <w:p w14:paraId="15B9FC31" w14:textId="77777777" w:rsidR="00776E11" w:rsidRPr="000A52F8" w:rsidRDefault="00776E11" w:rsidP="00776E11">
                        <w:pPr>
                          <w:jc w:val="center"/>
                          <w:rPr>
                            <w:rFonts w:ascii="Arial" w:hAnsi="Arial" w:cs="Arial"/>
                            <w:color w:val="E24C37"/>
                            <w:spacing w:val="-4"/>
                            <w:sz w:val="18"/>
                            <w:lang w:val="en-US"/>
                          </w:rPr>
                        </w:pPr>
                      </w:p>
                      <w:p w14:paraId="1B0C9AA7" w14:textId="77777777" w:rsidR="00776E11" w:rsidRDefault="00776E11" w:rsidP="00776E11">
                        <w:pPr>
                          <w:spacing w:after="0"/>
                          <w:jc w:val="center"/>
                          <w:rPr>
                            <w:rFonts w:ascii="Arial" w:hAnsi="Arial" w:cs="Arial"/>
                            <w:color w:val="000000"/>
                            <w:spacing w:val="-4"/>
                            <w:sz w:val="18"/>
                            <w:lang w:val="en-US"/>
                          </w:rPr>
                        </w:pPr>
                      </w:p>
                      <w:p w14:paraId="4D95AAA5" w14:textId="77777777" w:rsidR="00776E11" w:rsidRDefault="00776E11" w:rsidP="00776E11">
                        <w:pPr>
                          <w:spacing w:after="0"/>
                          <w:jc w:val="center"/>
                          <w:rPr>
                            <w:rFonts w:ascii="Arial" w:hAnsi="Arial" w:cs="Arial"/>
                            <w:color w:val="000000"/>
                            <w:spacing w:val="-4"/>
                            <w:sz w:val="18"/>
                            <w:lang w:val="en-US"/>
                          </w:rPr>
                        </w:pPr>
                      </w:p>
                      <w:p w14:paraId="01C05BB4" w14:textId="77777777" w:rsidR="00776E11" w:rsidRDefault="00776E11" w:rsidP="00776E11">
                        <w:pPr>
                          <w:spacing w:after="0"/>
                          <w:jc w:val="center"/>
                          <w:rPr>
                            <w:rFonts w:ascii="Arial" w:hAnsi="Arial" w:cs="Arial"/>
                            <w:color w:val="000000"/>
                            <w:spacing w:val="-4"/>
                            <w:sz w:val="18"/>
                            <w:lang w:val="en-US"/>
                          </w:rPr>
                        </w:pPr>
                      </w:p>
                      <w:p w14:paraId="4B8AC11C" w14:textId="77777777" w:rsidR="00776E11" w:rsidRDefault="00776E11" w:rsidP="00776E11">
                        <w:pPr>
                          <w:spacing w:after="0"/>
                          <w:jc w:val="center"/>
                          <w:rPr>
                            <w:rFonts w:ascii="Arial" w:hAnsi="Arial" w:cs="Arial"/>
                            <w:color w:val="000000"/>
                            <w:spacing w:val="-4"/>
                            <w:sz w:val="18"/>
                            <w:lang w:val="en-US"/>
                          </w:rPr>
                        </w:pPr>
                      </w:p>
                      <w:p w14:paraId="251F3C46" w14:textId="77777777" w:rsidR="00776E11" w:rsidRDefault="00776E11" w:rsidP="00776E11">
                        <w:pPr>
                          <w:spacing w:after="0"/>
                          <w:jc w:val="center"/>
                          <w:rPr>
                            <w:rFonts w:ascii="Arial" w:hAnsi="Arial" w:cs="Arial"/>
                            <w:color w:val="000000"/>
                            <w:spacing w:val="-4"/>
                            <w:sz w:val="18"/>
                            <w:lang w:val="en-US"/>
                          </w:rPr>
                        </w:pPr>
                      </w:p>
                      <w:p w14:paraId="5CF2BD6D" w14:textId="77777777" w:rsidR="00776E11" w:rsidRDefault="00776E11" w:rsidP="00776E11">
                        <w:pPr>
                          <w:spacing w:after="0"/>
                          <w:jc w:val="center"/>
                          <w:rPr>
                            <w:rFonts w:ascii="Arial" w:hAnsi="Arial" w:cs="Arial"/>
                            <w:color w:val="000000"/>
                            <w:spacing w:val="-4"/>
                            <w:sz w:val="18"/>
                            <w:lang w:val="en-US"/>
                          </w:rPr>
                        </w:pPr>
                      </w:p>
                      <w:p w14:paraId="6759E134" w14:textId="77777777" w:rsidR="00776E11" w:rsidRPr="000A52F8" w:rsidRDefault="00776E11" w:rsidP="00776E11">
                        <w:pPr>
                          <w:spacing w:after="0"/>
                          <w:jc w:val="center"/>
                          <w:rPr>
                            <w:rFonts w:ascii="Arial" w:hAnsi="Arial" w:cs="Arial"/>
                            <w:color w:val="000000"/>
                            <w:spacing w:val="-4"/>
                            <w:sz w:val="18"/>
                            <w:lang w:val="en-US"/>
                          </w:rPr>
                        </w:pPr>
                      </w:p>
                      <w:p w14:paraId="7E21633A" w14:textId="77777777" w:rsidR="00776E11" w:rsidRPr="000A52F8" w:rsidRDefault="00776E11" w:rsidP="00776E11">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0A52F8">
                          <w:rPr>
                            <w:rFonts w:ascii="Arial" w:hAnsi="Arial" w:cs="Arial"/>
                            <w:color w:val="000000"/>
                            <w:spacing w:val="-4"/>
                            <w:sz w:val="18"/>
                            <w:lang w:val="en-US"/>
                          </w:rPr>
                          <w:t>:</w:t>
                        </w:r>
                      </w:p>
                      <w:p w14:paraId="61E89204" w14:textId="77777777" w:rsidR="00776E11" w:rsidRPr="00B74004" w:rsidRDefault="00776E11" w:rsidP="00776E11">
                        <w:pPr>
                          <w:spacing w:after="0"/>
                          <w:jc w:val="center"/>
                          <w:rPr>
                            <w:rFonts w:ascii="Arial" w:hAnsi="Arial" w:cs="Arial"/>
                            <w:color w:val="000000"/>
                            <w:spacing w:val="-4"/>
                            <w:sz w:val="18"/>
                            <w:lang w:val="en-US"/>
                          </w:rPr>
                        </w:pPr>
                        <w:r w:rsidRPr="00B74004">
                          <w:rPr>
                            <w:rFonts w:ascii="Arial" w:hAnsi="Arial" w:cs="Arial"/>
                            <w:color w:val="000000"/>
                            <w:spacing w:val="-4"/>
                            <w:sz w:val="18"/>
                            <w:lang w:val="en-US"/>
                          </w:rPr>
                          <w:t xml:space="preserve">U.S. Bureau of </w:t>
                        </w:r>
                      </w:p>
                      <w:p w14:paraId="32369DAA" w14:textId="77777777" w:rsidR="00776E11" w:rsidRPr="00C46FB2" w:rsidRDefault="00776E11" w:rsidP="00776E11">
                        <w:pPr>
                          <w:spacing w:after="0"/>
                          <w:jc w:val="center"/>
                          <w:rPr>
                            <w:rFonts w:ascii="Arial" w:hAnsi="Arial" w:cs="Arial"/>
                            <w:color w:val="000000"/>
                            <w:spacing w:val="-4"/>
                            <w:sz w:val="18"/>
                            <w:lang w:val="en-US"/>
                          </w:rPr>
                        </w:pPr>
                        <w:r w:rsidRPr="00B74004">
                          <w:rPr>
                            <w:rFonts w:ascii="Arial" w:hAnsi="Arial" w:cs="Arial"/>
                            <w:color w:val="000000"/>
                            <w:spacing w:val="-4"/>
                            <w:sz w:val="18"/>
                            <w:lang w:val="en-US"/>
                          </w:rPr>
                          <w:t>Labor Statistics</w:t>
                        </w:r>
                      </w:p>
                    </w:txbxContent>
                  </v:textbox>
                </v:rect>
                <v:shape id="Freeform 364" o:spid="_x0000_s1046" style="position:absolute;left:11723;width:62253;height:29804;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" adj="-11796480,,5400" path="m9585,l,,,4123r9585,l9585,xe" fillcolor="#e5e4de" stroked="f">
                  <v:stroke joinstyle="round"/>
                  <v:formulas/>
                  <v:path arrowok="t" o:connecttype="custom" o:connectlocs="2147483646,0;0,0;0,1899466191;2147483646,1899466191;2147483646,0" o:connectangles="0,0,0,0,0" textboxrect="0,0,9586,4124"/>
                  <v:textbox>
                    <w:txbxContent>
                      <w:p w14:paraId="05E4FC88" w14:textId="77777777" w:rsidR="00776E11" w:rsidRDefault="00776E11" w:rsidP="00776E11">
                        <w:pPr>
                          <w:tabs>
                            <w:tab w:val="left" w:pos="2410"/>
                          </w:tabs>
                          <w:spacing w:after="0" w:line="240" w:lineRule="auto"/>
                          <w:rPr>
                            <w:rFonts w:ascii="Arial" w:eastAsia="Arial" w:hAnsi="Arial" w:cs="Arial"/>
                            <w:color w:val="0E3B70"/>
                            <w:sz w:val="20"/>
                            <w:szCs w:val="20"/>
                          </w:rPr>
                        </w:pPr>
                        <w:bookmarkStart w:id="5" w:name="_Hlk71807668"/>
                        <w:r w:rsidRPr="00B74004">
                          <w:rPr>
                            <w:rFonts w:ascii="Arial" w:eastAsia="Arial" w:hAnsi="Arial" w:cs="Arial"/>
                            <w:color w:val="0E3B70"/>
                            <w:sz w:val="20"/>
                            <w:szCs w:val="20"/>
                          </w:rPr>
                          <w:t>Εξέλιξη πληθωρισμού και δομικού πληθωρισμού (ετήσιες % μεταβολές)</w:t>
                        </w:r>
                        <w:bookmarkEnd w:id="5"/>
                        <w:r w:rsidRPr="00DC7D3B">
                          <w:rPr>
                            <w:noProof/>
                            <w:lang w:eastAsia="el-GR"/>
                          </w:rPr>
                          <w:drawing>
                            <wp:inline distT="0" distB="0" distL="0" distR="0" wp14:anchorId="2F8BDA33" wp14:editId="233E9911">
                              <wp:extent cx="5886450" cy="38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6450" cy="38100"/>
                                      </a:xfrm>
                                      <a:prstGeom prst="rect">
                                        <a:avLst/>
                                      </a:prstGeom>
                                      <a:noFill/>
                                      <a:ln>
                                        <a:noFill/>
                                      </a:ln>
                                    </pic:spPr>
                                  </pic:pic>
                                </a:graphicData>
                              </a:graphic>
                            </wp:inline>
                          </w:drawing>
                        </w:r>
                      </w:p>
                      <w:p w14:paraId="3CB89DBC" w14:textId="77777777" w:rsidR="00776E11" w:rsidRDefault="00776E11" w:rsidP="00776E11">
                        <w:pPr>
                          <w:tabs>
                            <w:tab w:val="left" w:pos="2410"/>
                          </w:tabs>
                          <w:spacing w:line="240" w:lineRule="auto"/>
                          <w:rPr>
                            <w:noProof/>
                          </w:rPr>
                        </w:pPr>
                        <w:r w:rsidRPr="00181E75">
                          <w:rPr>
                            <w:noProof/>
                          </w:rPr>
                          <w:t xml:space="preserve"> </w:t>
                        </w:r>
                        <w:r w:rsidRPr="001D7B02">
                          <w:rPr>
                            <w:noProof/>
                            <w:lang w:eastAsia="el-GR"/>
                          </w:rPr>
                          <w:drawing>
                            <wp:inline distT="0" distB="0" distL="0" distR="0" wp14:anchorId="3382E00B" wp14:editId="3ED9C8AF">
                              <wp:extent cx="5686425" cy="2705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p w14:paraId="11881535" w14:textId="77777777" w:rsidR="00776E11" w:rsidRDefault="00776E11" w:rsidP="00776E11">
                        <w:pPr>
                          <w:tabs>
                            <w:tab w:val="left" w:pos="2410"/>
                          </w:tabs>
                          <w:spacing w:line="240" w:lineRule="auto"/>
                          <w:rPr>
                            <w:noProof/>
                          </w:rPr>
                        </w:pPr>
                      </w:p>
                      <w:p w14:paraId="2CA258EA" w14:textId="77777777" w:rsidR="00776E11" w:rsidRDefault="00776E11" w:rsidP="00776E11">
                        <w:pPr>
                          <w:tabs>
                            <w:tab w:val="left" w:pos="2410"/>
                          </w:tabs>
                          <w:spacing w:line="240" w:lineRule="auto"/>
                          <w:rPr>
                            <w:noProof/>
                          </w:rPr>
                        </w:pPr>
                      </w:p>
                      <w:p w14:paraId="6B39C77F" w14:textId="77777777" w:rsidR="00776E11" w:rsidRDefault="00776E11" w:rsidP="00776E11">
                        <w:pPr>
                          <w:tabs>
                            <w:tab w:val="left" w:pos="2410"/>
                          </w:tabs>
                          <w:spacing w:line="240" w:lineRule="auto"/>
                          <w:rPr>
                            <w:noProof/>
                          </w:rPr>
                        </w:pPr>
                      </w:p>
                      <w:p w14:paraId="22A73FB6" w14:textId="77777777" w:rsidR="00776E11" w:rsidRDefault="00776E11" w:rsidP="00776E11">
                        <w:pPr>
                          <w:tabs>
                            <w:tab w:val="left" w:pos="2410"/>
                          </w:tabs>
                          <w:spacing w:line="240" w:lineRule="auto"/>
                          <w:rPr>
                            <w:noProof/>
                          </w:rPr>
                        </w:pPr>
                      </w:p>
                      <w:p w14:paraId="0543E43D" w14:textId="77777777" w:rsidR="00776E11" w:rsidRDefault="00776E11" w:rsidP="00776E11">
                        <w:pPr>
                          <w:tabs>
                            <w:tab w:val="left" w:pos="2410"/>
                          </w:tabs>
                          <w:spacing w:line="240" w:lineRule="auto"/>
                          <w:rPr>
                            <w:noProof/>
                          </w:rPr>
                        </w:pPr>
                      </w:p>
                      <w:p w14:paraId="1897B7B4" w14:textId="77777777" w:rsidR="00776E11" w:rsidRDefault="00776E11" w:rsidP="00776E11">
                        <w:pPr>
                          <w:tabs>
                            <w:tab w:val="left" w:pos="2410"/>
                          </w:tabs>
                          <w:spacing w:line="240" w:lineRule="auto"/>
                          <w:rPr>
                            <w:noProof/>
                          </w:rPr>
                        </w:pPr>
                      </w:p>
                      <w:p w14:paraId="0F6F2912" w14:textId="77777777" w:rsidR="00776E11" w:rsidRDefault="00776E11" w:rsidP="00776E11">
                        <w:pPr>
                          <w:tabs>
                            <w:tab w:val="left" w:pos="2410"/>
                          </w:tabs>
                          <w:spacing w:line="240" w:lineRule="auto"/>
                          <w:rPr>
                            <w:noProof/>
                          </w:rPr>
                        </w:pPr>
                      </w:p>
                      <w:p w14:paraId="36873F41" w14:textId="77777777" w:rsidR="00776E11" w:rsidRDefault="00776E11" w:rsidP="00776E11">
                        <w:pPr>
                          <w:tabs>
                            <w:tab w:val="left" w:pos="2410"/>
                          </w:tabs>
                          <w:spacing w:line="240" w:lineRule="auto"/>
                          <w:rPr>
                            <w:noProof/>
                          </w:rPr>
                        </w:pPr>
                      </w:p>
                      <w:p w14:paraId="7D925E6D" w14:textId="77777777" w:rsidR="00776E11" w:rsidRDefault="00776E11" w:rsidP="00776E11">
                        <w:pPr>
                          <w:tabs>
                            <w:tab w:val="left" w:pos="2410"/>
                          </w:tabs>
                          <w:spacing w:line="240" w:lineRule="auto"/>
                          <w:rPr>
                            <w:noProof/>
                          </w:rPr>
                        </w:pPr>
                      </w:p>
                      <w:p w14:paraId="733D762D" w14:textId="77777777" w:rsidR="00776E11" w:rsidRDefault="00776E11" w:rsidP="00776E11">
                        <w:pPr>
                          <w:tabs>
                            <w:tab w:val="left" w:pos="2410"/>
                          </w:tabs>
                          <w:spacing w:line="240" w:lineRule="auto"/>
                          <w:rPr>
                            <w:noProof/>
                          </w:rPr>
                        </w:pPr>
                      </w:p>
                      <w:p w14:paraId="17EBA2D9" w14:textId="77777777" w:rsidR="00776E11" w:rsidRDefault="00776E11" w:rsidP="00776E11">
                        <w:pPr>
                          <w:tabs>
                            <w:tab w:val="left" w:pos="2410"/>
                          </w:tabs>
                          <w:spacing w:line="240" w:lineRule="auto"/>
                          <w:rPr>
                            <w:noProof/>
                          </w:rPr>
                        </w:pPr>
                      </w:p>
                      <w:p w14:paraId="45D3141B" w14:textId="77777777" w:rsidR="00776E11" w:rsidRDefault="00776E11" w:rsidP="00776E11">
                        <w:pPr>
                          <w:tabs>
                            <w:tab w:val="left" w:pos="2410"/>
                          </w:tabs>
                          <w:spacing w:line="240" w:lineRule="auto"/>
                          <w:rPr>
                            <w:noProof/>
                          </w:rPr>
                        </w:pPr>
                      </w:p>
                      <w:p w14:paraId="4DB72F44" w14:textId="77777777" w:rsidR="00776E11" w:rsidRDefault="00776E11" w:rsidP="00776E11">
                        <w:pPr>
                          <w:tabs>
                            <w:tab w:val="left" w:pos="2410"/>
                          </w:tabs>
                          <w:spacing w:line="240" w:lineRule="auto"/>
                          <w:rPr>
                            <w:noProof/>
                          </w:rPr>
                        </w:pPr>
                      </w:p>
                      <w:p w14:paraId="079D2D48" w14:textId="77777777" w:rsidR="00776E11" w:rsidRDefault="00776E11" w:rsidP="00776E11">
                        <w:pPr>
                          <w:tabs>
                            <w:tab w:val="left" w:pos="2410"/>
                          </w:tabs>
                          <w:spacing w:line="240" w:lineRule="auto"/>
                          <w:rPr>
                            <w:noProof/>
                          </w:rPr>
                        </w:pPr>
                      </w:p>
                      <w:p w14:paraId="33DED403" w14:textId="77777777" w:rsidR="00776E11" w:rsidRDefault="00776E11" w:rsidP="00776E11">
                        <w:pPr>
                          <w:tabs>
                            <w:tab w:val="left" w:pos="2410"/>
                          </w:tabs>
                          <w:spacing w:line="240" w:lineRule="auto"/>
                          <w:rPr>
                            <w:noProof/>
                          </w:rPr>
                        </w:pPr>
                      </w:p>
                      <w:p w14:paraId="06783B0E" w14:textId="77777777" w:rsidR="00776E11" w:rsidRDefault="00776E11" w:rsidP="00776E11">
                        <w:pPr>
                          <w:tabs>
                            <w:tab w:val="left" w:pos="2410"/>
                          </w:tabs>
                          <w:spacing w:line="240" w:lineRule="auto"/>
                          <w:rPr>
                            <w:noProof/>
                          </w:rPr>
                        </w:pPr>
                      </w:p>
                      <w:p w14:paraId="4D7E31E5" w14:textId="77777777" w:rsidR="00776E11" w:rsidRDefault="00776E11" w:rsidP="00776E11">
                        <w:pPr>
                          <w:tabs>
                            <w:tab w:val="left" w:pos="2410"/>
                          </w:tabs>
                          <w:spacing w:line="240" w:lineRule="auto"/>
                          <w:rPr>
                            <w:noProof/>
                          </w:rPr>
                        </w:pPr>
                      </w:p>
                      <w:p w14:paraId="7D4D05AA" w14:textId="77777777" w:rsidR="00776E11" w:rsidRDefault="00776E11" w:rsidP="00776E11">
                        <w:pPr>
                          <w:tabs>
                            <w:tab w:val="left" w:pos="2410"/>
                          </w:tabs>
                          <w:spacing w:line="240" w:lineRule="auto"/>
                          <w:rPr>
                            <w:noProof/>
                          </w:rPr>
                        </w:pPr>
                      </w:p>
                      <w:p w14:paraId="0EDF450B" w14:textId="77777777" w:rsidR="00776E11" w:rsidRDefault="00776E11" w:rsidP="00776E11">
                        <w:pPr>
                          <w:tabs>
                            <w:tab w:val="left" w:pos="2410"/>
                          </w:tabs>
                          <w:spacing w:line="240" w:lineRule="auto"/>
                          <w:rPr>
                            <w:noProof/>
                          </w:rPr>
                        </w:pPr>
                      </w:p>
                      <w:p w14:paraId="26687B42" w14:textId="77777777" w:rsidR="00776E11" w:rsidRDefault="00776E11" w:rsidP="00776E11">
                        <w:pPr>
                          <w:tabs>
                            <w:tab w:val="left" w:pos="2410"/>
                          </w:tabs>
                          <w:spacing w:line="240" w:lineRule="auto"/>
                          <w:rPr>
                            <w:noProof/>
                          </w:rPr>
                        </w:pPr>
                      </w:p>
                      <w:p w14:paraId="114D58AA" w14:textId="77777777" w:rsidR="00776E11" w:rsidRDefault="00776E11" w:rsidP="00776E11">
                        <w:pPr>
                          <w:tabs>
                            <w:tab w:val="left" w:pos="2410"/>
                          </w:tabs>
                          <w:spacing w:line="240" w:lineRule="auto"/>
                          <w:rPr>
                            <w:noProof/>
                          </w:rPr>
                        </w:pPr>
                      </w:p>
                      <w:p w14:paraId="5F4F2262" w14:textId="77777777" w:rsidR="00776E11" w:rsidRDefault="00776E11" w:rsidP="00776E11">
                        <w:pPr>
                          <w:tabs>
                            <w:tab w:val="left" w:pos="2410"/>
                          </w:tabs>
                          <w:spacing w:line="240" w:lineRule="auto"/>
                          <w:rPr>
                            <w:noProof/>
                          </w:rPr>
                        </w:pPr>
                      </w:p>
                      <w:p w14:paraId="79E70561" w14:textId="77777777" w:rsidR="00776E11" w:rsidRDefault="00776E11" w:rsidP="00776E11">
                        <w:pPr>
                          <w:tabs>
                            <w:tab w:val="left" w:pos="2410"/>
                          </w:tabs>
                          <w:spacing w:line="240" w:lineRule="auto"/>
                          <w:rPr>
                            <w:noProof/>
                          </w:rPr>
                        </w:pPr>
                      </w:p>
                      <w:p w14:paraId="2EC65D24" w14:textId="77777777" w:rsidR="00776E11" w:rsidRDefault="00776E11" w:rsidP="00776E11">
                        <w:pPr>
                          <w:tabs>
                            <w:tab w:val="left" w:pos="2410"/>
                          </w:tabs>
                          <w:spacing w:line="240" w:lineRule="auto"/>
                          <w:rPr>
                            <w:noProof/>
                          </w:rPr>
                        </w:pPr>
                      </w:p>
                      <w:p w14:paraId="0AEFEE25" w14:textId="77777777" w:rsidR="00776E11" w:rsidRDefault="00776E11" w:rsidP="00776E11">
                        <w:pPr>
                          <w:tabs>
                            <w:tab w:val="left" w:pos="2410"/>
                          </w:tabs>
                          <w:spacing w:line="240" w:lineRule="auto"/>
                          <w:rPr>
                            <w:noProof/>
                          </w:rPr>
                        </w:pPr>
                      </w:p>
                      <w:p w14:paraId="318FC088" w14:textId="77777777" w:rsidR="00776E11" w:rsidRDefault="00776E11" w:rsidP="00776E11">
                        <w:pPr>
                          <w:tabs>
                            <w:tab w:val="left" w:pos="2410"/>
                          </w:tabs>
                          <w:spacing w:line="240" w:lineRule="auto"/>
                          <w:rPr>
                            <w:noProof/>
                          </w:rPr>
                        </w:pPr>
                      </w:p>
                      <w:p w14:paraId="72D9F8FF" w14:textId="77777777" w:rsidR="00776E11" w:rsidRDefault="00776E11" w:rsidP="00776E11">
                        <w:pPr>
                          <w:tabs>
                            <w:tab w:val="left" w:pos="2410"/>
                          </w:tabs>
                          <w:spacing w:line="240" w:lineRule="auto"/>
                          <w:rPr>
                            <w:noProof/>
                          </w:rPr>
                        </w:pPr>
                      </w:p>
                      <w:p w14:paraId="2F323571" w14:textId="77777777" w:rsidR="00776E11" w:rsidRDefault="00776E11" w:rsidP="00776E11">
                        <w:pPr>
                          <w:tabs>
                            <w:tab w:val="left" w:pos="2410"/>
                          </w:tabs>
                          <w:spacing w:line="240" w:lineRule="auto"/>
                          <w:rPr>
                            <w:noProof/>
                          </w:rPr>
                        </w:pPr>
                      </w:p>
                      <w:p w14:paraId="3438EB9F" w14:textId="77777777" w:rsidR="00776E11" w:rsidRDefault="00776E11" w:rsidP="00776E11">
                        <w:pPr>
                          <w:tabs>
                            <w:tab w:val="left" w:pos="2410"/>
                          </w:tabs>
                          <w:spacing w:line="240" w:lineRule="auto"/>
                          <w:rPr>
                            <w:noProof/>
                          </w:rPr>
                        </w:pPr>
                      </w:p>
                      <w:p w14:paraId="06B3F5C0" w14:textId="77777777" w:rsidR="00776E11" w:rsidRDefault="00776E11" w:rsidP="00776E11">
                        <w:pPr>
                          <w:tabs>
                            <w:tab w:val="left" w:pos="2410"/>
                          </w:tabs>
                          <w:spacing w:line="240" w:lineRule="auto"/>
                          <w:rPr>
                            <w:noProof/>
                          </w:rPr>
                        </w:pPr>
                      </w:p>
                      <w:p w14:paraId="40E78910" w14:textId="77777777" w:rsidR="00776E11" w:rsidRDefault="00776E11" w:rsidP="00776E11">
                        <w:pPr>
                          <w:tabs>
                            <w:tab w:val="left" w:pos="2410"/>
                          </w:tabs>
                          <w:spacing w:line="240" w:lineRule="auto"/>
                          <w:rPr>
                            <w:noProof/>
                          </w:rPr>
                        </w:pPr>
                      </w:p>
                      <w:p w14:paraId="0D81FB24" w14:textId="77777777" w:rsidR="00776E11" w:rsidRDefault="00776E11" w:rsidP="00776E11">
                        <w:pPr>
                          <w:tabs>
                            <w:tab w:val="left" w:pos="2410"/>
                          </w:tabs>
                          <w:spacing w:line="240" w:lineRule="auto"/>
                          <w:rPr>
                            <w:noProof/>
                          </w:rPr>
                        </w:pPr>
                      </w:p>
                      <w:p w14:paraId="4E8C3CC3" w14:textId="77777777" w:rsidR="00776E11" w:rsidRDefault="00776E11" w:rsidP="00776E11">
                        <w:pPr>
                          <w:tabs>
                            <w:tab w:val="left" w:pos="2410"/>
                          </w:tabs>
                          <w:spacing w:line="240" w:lineRule="auto"/>
                          <w:rPr>
                            <w:noProof/>
                          </w:rPr>
                        </w:pPr>
                      </w:p>
                      <w:p w14:paraId="7503F6E1" w14:textId="77777777" w:rsidR="00776E11" w:rsidRDefault="00776E11" w:rsidP="00776E11">
                        <w:pPr>
                          <w:tabs>
                            <w:tab w:val="left" w:pos="2410"/>
                          </w:tabs>
                          <w:spacing w:line="240" w:lineRule="auto"/>
                          <w:rPr>
                            <w:noProof/>
                          </w:rPr>
                        </w:pPr>
                      </w:p>
                      <w:p w14:paraId="3423011D" w14:textId="77777777" w:rsidR="00776E11" w:rsidRDefault="00776E11" w:rsidP="00776E11">
                        <w:pPr>
                          <w:tabs>
                            <w:tab w:val="left" w:pos="2410"/>
                          </w:tabs>
                          <w:spacing w:line="240" w:lineRule="auto"/>
                          <w:rPr>
                            <w:noProof/>
                          </w:rPr>
                        </w:pPr>
                      </w:p>
                      <w:p w14:paraId="3DEE7440" w14:textId="77777777" w:rsidR="00776E11" w:rsidRDefault="00776E11" w:rsidP="00776E11">
                        <w:pPr>
                          <w:tabs>
                            <w:tab w:val="left" w:pos="2410"/>
                          </w:tabs>
                          <w:spacing w:line="240" w:lineRule="auto"/>
                          <w:rPr>
                            <w:noProof/>
                          </w:rPr>
                        </w:pPr>
                      </w:p>
                      <w:p w14:paraId="7FEE965C" w14:textId="77777777" w:rsidR="00776E11" w:rsidRDefault="00776E11" w:rsidP="00776E11">
                        <w:pPr>
                          <w:tabs>
                            <w:tab w:val="left" w:pos="2410"/>
                          </w:tabs>
                          <w:spacing w:line="240" w:lineRule="auto"/>
                          <w:rPr>
                            <w:noProof/>
                          </w:rPr>
                        </w:pPr>
                      </w:p>
                      <w:p w14:paraId="7F0B42D3" w14:textId="77777777" w:rsidR="00776E11" w:rsidRDefault="00776E11" w:rsidP="00776E11">
                        <w:pPr>
                          <w:tabs>
                            <w:tab w:val="left" w:pos="2410"/>
                          </w:tabs>
                          <w:spacing w:line="240" w:lineRule="auto"/>
                          <w:rPr>
                            <w:noProof/>
                          </w:rPr>
                        </w:pPr>
                      </w:p>
                      <w:p w14:paraId="6E0F9F25" w14:textId="77777777" w:rsidR="00776E11" w:rsidRDefault="00776E11" w:rsidP="00776E11">
                        <w:pPr>
                          <w:tabs>
                            <w:tab w:val="left" w:pos="2410"/>
                          </w:tabs>
                          <w:spacing w:line="240" w:lineRule="auto"/>
                          <w:rPr>
                            <w:noProof/>
                          </w:rPr>
                        </w:pPr>
                      </w:p>
                      <w:p w14:paraId="68595071" w14:textId="77777777" w:rsidR="00776E11" w:rsidRDefault="00776E11" w:rsidP="00776E11">
                        <w:pPr>
                          <w:tabs>
                            <w:tab w:val="left" w:pos="2410"/>
                          </w:tabs>
                          <w:spacing w:line="240" w:lineRule="auto"/>
                          <w:rPr>
                            <w:noProof/>
                          </w:rPr>
                        </w:pPr>
                      </w:p>
                      <w:p w14:paraId="456FDE96" w14:textId="77777777" w:rsidR="00776E11" w:rsidRDefault="00776E11" w:rsidP="00776E11">
                        <w:pPr>
                          <w:tabs>
                            <w:tab w:val="left" w:pos="2410"/>
                          </w:tabs>
                          <w:spacing w:line="240" w:lineRule="auto"/>
                          <w:rPr>
                            <w:noProof/>
                          </w:rPr>
                        </w:pPr>
                      </w:p>
                      <w:p w14:paraId="6FBAEAAB" w14:textId="77777777" w:rsidR="00776E11" w:rsidRDefault="00776E11" w:rsidP="00776E11">
                        <w:pPr>
                          <w:tabs>
                            <w:tab w:val="left" w:pos="2410"/>
                          </w:tabs>
                          <w:spacing w:line="240" w:lineRule="auto"/>
                          <w:rPr>
                            <w:noProof/>
                          </w:rPr>
                        </w:pPr>
                      </w:p>
                      <w:p w14:paraId="70C99B94" w14:textId="77777777" w:rsidR="00776E11" w:rsidRDefault="00776E11" w:rsidP="00776E11">
                        <w:pPr>
                          <w:tabs>
                            <w:tab w:val="left" w:pos="2410"/>
                          </w:tabs>
                          <w:spacing w:line="240" w:lineRule="auto"/>
                          <w:rPr>
                            <w:noProof/>
                          </w:rPr>
                        </w:pPr>
                      </w:p>
                      <w:p w14:paraId="0162678B" w14:textId="77777777" w:rsidR="00776E11" w:rsidRDefault="00776E11" w:rsidP="00776E11">
                        <w:pPr>
                          <w:tabs>
                            <w:tab w:val="left" w:pos="2410"/>
                          </w:tabs>
                          <w:spacing w:line="240" w:lineRule="auto"/>
                          <w:rPr>
                            <w:noProof/>
                          </w:rPr>
                        </w:pPr>
                      </w:p>
                      <w:p w14:paraId="372AECD4" w14:textId="77777777" w:rsidR="00776E11" w:rsidRDefault="00776E11" w:rsidP="00776E11">
                        <w:pPr>
                          <w:tabs>
                            <w:tab w:val="left" w:pos="2410"/>
                          </w:tabs>
                          <w:spacing w:line="240" w:lineRule="auto"/>
                          <w:rPr>
                            <w:noProof/>
                          </w:rPr>
                        </w:pPr>
                      </w:p>
                      <w:p w14:paraId="04CC56BD" w14:textId="77777777" w:rsidR="00776E11" w:rsidRDefault="00776E11" w:rsidP="00776E11">
                        <w:pPr>
                          <w:tabs>
                            <w:tab w:val="left" w:pos="2410"/>
                          </w:tabs>
                          <w:spacing w:line="240" w:lineRule="auto"/>
                          <w:rPr>
                            <w:noProof/>
                          </w:rPr>
                        </w:pPr>
                      </w:p>
                      <w:p w14:paraId="2E2847CF" w14:textId="77777777" w:rsidR="00776E11" w:rsidRDefault="00776E11" w:rsidP="00776E11">
                        <w:pPr>
                          <w:tabs>
                            <w:tab w:val="left" w:pos="2410"/>
                          </w:tabs>
                          <w:spacing w:line="240" w:lineRule="auto"/>
                          <w:rPr>
                            <w:noProof/>
                          </w:rPr>
                        </w:pPr>
                      </w:p>
                      <w:p w14:paraId="5A579E0C" w14:textId="77777777" w:rsidR="00776E11" w:rsidRDefault="00776E11" w:rsidP="00776E11">
                        <w:pPr>
                          <w:tabs>
                            <w:tab w:val="left" w:pos="2410"/>
                          </w:tabs>
                          <w:spacing w:line="240" w:lineRule="auto"/>
                          <w:rPr>
                            <w:noProof/>
                          </w:rPr>
                        </w:pPr>
                      </w:p>
                      <w:p w14:paraId="6E5727FF" w14:textId="77777777" w:rsidR="00776E11" w:rsidRDefault="00776E11" w:rsidP="00776E11">
                        <w:pPr>
                          <w:tabs>
                            <w:tab w:val="left" w:pos="2410"/>
                          </w:tabs>
                          <w:spacing w:line="240" w:lineRule="auto"/>
                          <w:rPr>
                            <w:noProof/>
                          </w:rPr>
                        </w:pPr>
                      </w:p>
                      <w:p w14:paraId="20A64239" w14:textId="77777777" w:rsidR="00776E11" w:rsidRDefault="00776E11" w:rsidP="00776E11">
                        <w:pPr>
                          <w:tabs>
                            <w:tab w:val="left" w:pos="2410"/>
                          </w:tabs>
                          <w:spacing w:line="240" w:lineRule="auto"/>
                          <w:rPr>
                            <w:noProof/>
                          </w:rPr>
                        </w:pPr>
                      </w:p>
                      <w:p w14:paraId="25473D6E" w14:textId="77777777" w:rsidR="00776E11" w:rsidRDefault="00776E11" w:rsidP="00776E11">
                        <w:pPr>
                          <w:tabs>
                            <w:tab w:val="left" w:pos="2410"/>
                          </w:tabs>
                          <w:spacing w:line="240" w:lineRule="auto"/>
                          <w:rPr>
                            <w:noProof/>
                          </w:rPr>
                        </w:pPr>
                      </w:p>
                      <w:p w14:paraId="390C6BB2" w14:textId="77777777" w:rsidR="00776E11" w:rsidRDefault="00776E11" w:rsidP="00776E11">
                        <w:pPr>
                          <w:tabs>
                            <w:tab w:val="left" w:pos="2410"/>
                          </w:tabs>
                          <w:spacing w:line="240" w:lineRule="auto"/>
                          <w:rPr>
                            <w:noProof/>
                          </w:rPr>
                        </w:pPr>
                      </w:p>
                      <w:p w14:paraId="2C8C5120" w14:textId="77777777" w:rsidR="00776E11" w:rsidRDefault="00776E11" w:rsidP="00776E11">
                        <w:pPr>
                          <w:tabs>
                            <w:tab w:val="left" w:pos="2410"/>
                          </w:tabs>
                          <w:spacing w:line="240" w:lineRule="auto"/>
                          <w:rPr>
                            <w:noProof/>
                          </w:rPr>
                        </w:pPr>
                      </w:p>
                      <w:p w14:paraId="1E10FAB7" w14:textId="77777777" w:rsidR="00776E11" w:rsidRDefault="00776E11" w:rsidP="00776E11">
                        <w:pPr>
                          <w:tabs>
                            <w:tab w:val="left" w:pos="2410"/>
                          </w:tabs>
                          <w:spacing w:line="240" w:lineRule="auto"/>
                          <w:rPr>
                            <w:noProof/>
                          </w:rPr>
                        </w:pPr>
                      </w:p>
                      <w:p w14:paraId="0C6EF9E7" w14:textId="77777777" w:rsidR="00776E11" w:rsidRDefault="00776E11" w:rsidP="00776E11">
                        <w:pPr>
                          <w:tabs>
                            <w:tab w:val="left" w:pos="2410"/>
                          </w:tabs>
                          <w:spacing w:line="240" w:lineRule="auto"/>
                          <w:rPr>
                            <w:noProof/>
                          </w:rPr>
                        </w:pPr>
                      </w:p>
                      <w:p w14:paraId="1875C7F8" w14:textId="77777777" w:rsidR="00776E11" w:rsidRDefault="00776E11" w:rsidP="00776E11">
                        <w:pPr>
                          <w:tabs>
                            <w:tab w:val="left" w:pos="2410"/>
                          </w:tabs>
                          <w:spacing w:line="240" w:lineRule="auto"/>
                          <w:rPr>
                            <w:noProof/>
                          </w:rPr>
                        </w:pPr>
                      </w:p>
                      <w:p w14:paraId="79853FA5" w14:textId="77777777" w:rsidR="00776E11" w:rsidRDefault="00776E11" w:rsidP="00776E11">
                        <w:pPr>
                          <w:tabs>
                            <w:tab w:val="left" w:pos="2410"/>
                          </w:tabs>
                          <w:spacing w:line="240" w:lineRule="auto"/>
                          <w:rPr>
                            <w:noProof/>
                          </w:rPr>
                        </w:pPr>
                      </w:p>
                      <w:p w14:paraId="07E792E2" w14:textId="77777777" w:rsidR="00776E11" w:rsidRDefault="00776E11" w:rsidP="00776E11">
                        <w:pPr>
                          <w:tabs>
                            <w:tab w:val="left" w:pos="2410"/>
                          </w:tabs>
                          <w:spacing w:line="240" w:lineRule="auto"/>
                          <w:rPr>
                            <w:noProof/>
                          </w:rPr>
                        </w:pPr>
                      </w:p>
                      <w:p w14:paraId="59FA97FB" w14:textId="77777777" w:rsidR="00776E11" w:rsidRDefault="00776E11" w:rsidP="00776E11">
                        <w:pPr>
                          <w:tabs>
                            <w:tab w:val="left" w:pos="2410"/>
                          </w:tabs>
                          <w:spacing w:line="240" w:lineRule="auto"/>
                          <w:rPr>
                            <w:noProof/>
                          </w:rPr>
                        </w:pPr>
                      </w:p>
                      <w:p w14:paraId="7DA554A4" w14:textId="77777777" w:rsidR="00776E11" w:rsidRDefault="00776E11" w:rsidP="00776E11">
                        <w:pPr>
                          <w:tabs>
                            <w:tab w:val="left" w:pos="2410"/>
                          </w:tabs>
                          <w:spacing w:line="240" w:lineRule="auto"/>
                          <w:rPr>
                            <w:noProof/>
                          </w:rPr>
                        </w:pPr>
                      </w:p>
                      <w:p w14:paraId="4AAD1D53" w14:textId="77777777" w:rsidR="00776E11" w:rsidRDefault="00776E11" w:rsidP="00776E11">
                        <w:pPr>
                          <w:tabs>
                            <w:tab w:val="left" w:pos="2410"/>
                          </w:tabs>
                          <w:spacing w:line="240" w:lineRule="auto"/>
                          <w:rPr>
                            <w:noProof/>
                          </w:rPr>
                        </w:pPr>
                      </w:p>
                      <w:p w14:paraId="6E4ADBD5" w14:textId="77777777" w:rsidR="00776E11" w:rsidRDefault="00776E11" w:rsidP="00776E11">
                        <w:pPr>
                          <w:tabs>
                            <w:tab w:val="left" w:pos="2410"/>
                          </w:tabs>
                          <w:spacing w:line="240" w:lineRule="auto"/>
                          <w:rPr>
                            <w:noProof/>
                          </w:rPr>
                        </w:pPr>
                      </w:p>
                      <w:p w14:paraId="48E05CAF" w14:textId="77777777" w:rsidR="00776E11" w:rsidRDefault="00776E11" w:rsidP="00776E11">
                        <w:pPr>
                          <w:tabs>
                            <w:tab w:val="left" w:pos="2410"/>
                          </w:tabs>
                          <w:spacing w:line="240" w:lineRule="auto"/>
                          <w:rPr>
                            <w:noProof/>
                          </w:rPr>
                        </w:pPr>
                      </w:p>
                      <w:p w14:paraId="62508B66" w14:textId="77777777" w:rsidR="00776E11" w:rsidRDefault="00776E11" w:rsidP="00776E11">
                        <w:pPr>
                          <w:tabs>
                            <w:tab w:val="left" w:pos="2410"/>
                          </w:tabs>
                          <w:spacing w:line="240" w:lineRule="auto"/>
                          <w:rPr>
                            <w:noProof/>
                          </w:rPr>
                        </w:pPr>
                      </w:p>
                      <w:p w14:paraId="4700C27D" w14:textId="77777777" w:rsidR="00776E11" w:rsidRDefault="00776E11" w:rsidP="00776E11">
                        <w:pPr>
                          <w:tabs>
                            <w:tab w:val="left" w:pos="2410"/>
                          </w:tabs>
                          <w:spacing w:line="240" w:lineRule="auto"/>
                          <w:rPr>
                            <w:noProof/>
                          </w:rPr>
                        </w:pPr>
                      </w:p>
                      <w:p w14:paraId="0332079C" w14:textId="77777777" w:rsidR="00776E11" w:rsidRDefault="00776E11" w:rsidP="00776E11">
                        <w:pPr>
                          <w:tabs>
                            <w:tab w:val="left" w:pos="2410"/>
                          </w:tabs>
                          <w:spacing w:line="240" w:lineRule="auto"/>
                          <w:rPr>
                            <w:noProof/>
                          </w:rPr>
                        </w:pPr>
                      </w:p>
                      <w:p w14:paraId="315AA91D" w14:textId="77777777" w:rsidR="00776E11" w:rsidRDefault="00776E11" w:rsidP="00776E11">
                        <w:pPr>
                          <w:tabs>
                            <w:tab w:val="left" w:pos="2410"/>
                          </w:tabs>
                          <w:spacing w:line="240" w:lineRule="auto"/>
                          <w:rPr>
                            <w:rFonts w:ascii="Arial" w:hAnsi="Arial" w:cs="Arial"/>
                            <w:sz w:val="20"/>
                          </w:rPr>
                        </w:pPr>
                      </w:p>
                      <w:p w14:paraId="7E169546" w14:textId="77777777" w:rsidR="00776E11" w:rsidRDefault="00776E11" w:rsidP="00776E11">
                        <w:pPr>
                          <w:tabs>
                            <w:tab w:val="left" w:pos="2410"/>
                          </w:tabs>
                          <w:spacing w:line="240" w:lineRule="auto"/>
                          <w:rPr>
                            <w:rFonts w:ascii="Arial" w:hAnsi="Arial" w:cs="Arial"/>
                            <w:sz w:val="20"/>
                          </w:rPr>
                        </w:pPr>
                      </w:p>
                      <w:p w14:paraId="4369AA2C" w14:textId="77777777" w:rsidR="00776E11" w:rsidRDefault="00776E11" w:rsidP="00776E11">
                        <w:pPr>
                          <w:tabs>
                            <w:tab w:val="left" w:pos="2410"/>
                          </w:tabs>
                          <w:spacing w:line="240" w:lineRule="auto"/>
                          <w:rPr>
                            <w:rFonts w:ascii="Arial" w:hAnsi="Arial" w:cs="Arial"/>
                            <w:sz w:val="20"/>
                          </w:rPr>
                        </w:pPr>
                      </w:p>
                      <w:p w14:paraId="47B22AAF" w14:textId="77777777" w:rsidR="00776E11" w:rsidRDefault="00776E11" w:rsidP="00776E11">
                        <w:pPr>
                          <w:tabs>
                            <w:tab w:val="left" w:pos="2410"/>
                          </w:tabs>
                          <w:spacing w:line="240" w:lineRule="auto"/>
                          <w:rPr>
                            <w:rFonts w:ascii="Arial" w:hAnsi="Arial" w:cs="Arial"/>
                            <w:sz w:val="20"/>
                          </w:rPr>
                        </w:pPr>
                      </w:p>
                      <w:p w14:paraId="191C471B" w14:textId="77777777" w:rsidR="00776E11" w:rsidRDefault="00776E11" w:rsidP="00776E11">
                        <w:pPr>
                          <w:tabs>
                            <w:tab w:val="left" w:pos="2410"/>
                          </w:tabs>
                          <w:spacing w:line="240" w:lineRule="auto"/>
                          <w:rPr>
                            <w:rFonts w:ascii="Arial" w:hAnsi="Arial" w:cs="Arial"/>
                            <w:sz w:val="20"/>
                          </w:rPr>
                        </w:pPr>
                      </w:p>
                      <w:p w14:paraId="6CE08DE1" w14:textId="77777777" w:rsidR="00776E11" w:rsidRDefault="00776E11" w:rsidP="00776E11">
                        <w:pPr>
                          <w:tabs>
                            <w:tab w:val="left" w:pos="2410"/>
                          </w:tabs>
                          <w:spacing w:line="240" w:lineRule="auto"/>
                          <w:rPr>
                            <w:rFonts w:ascii="Arial" w:hAnsi="Arial" w:cs="Arial"/>
                            <w:sz w:val="20"/>
                          </w:rPr>
                        </w:pPr>
                      </w:p>
                      <w:p w14:paraId="7DAFDDFB" w14:textId="77777777" w:rsidR="00776E11" w:rsidRDefault="00776E11" w:rsidP="00776E11">
                        <w:pPr>
                          <w:tabs>
                            <w:tab w:val="left" w:pos="2410"/>
                          </w:tabs>
                          <w:spacing w:line="240" w:lineRule="auto"/>
                          <w:rPr>
                            <w:rFonts w:ascii="Arial" w:hAnsi="Arial" w:cs="Arial"/>
                            <w:sz w:val="20"/>
                          </w:rPr>
                        </w:pPr>
                      </w:p>
                      <w:p w14:paraId="5EE3E017" w14:textId="77777777" w:rsidR="00776E11" w:rsidRDefault="00776E11" w:rsidP="00776E11">
                        <w:pPr>
                          <w:tabs>
                            <w:tab w:val="left" w:pos="2410"/>
                          </w:tabs>
                          <w:spacing w:line="240" w:lineRule="auto"/>
                          <w:rPr>
                            <w:rFonts w:ascii="Arial" w:hAnsi="Arial" w:cs="Arial"/>
                            <w:sz w:val="20"/>
                          </w:rPr>
                        </w:pPr>
                      </w:p>
                      <w:p w14:paraId="6718C093" w14:textId="77777777" w:rsidR="00776E11" w:rsidRDefault="00776E11" w:rsidP="00776E11">
                        <w:pPr>
                          <w:tabs>
                            <w:tab w:val="left" w:pos="2410"/>
                          </w:tabs>
                          <w:spacing w:line="240" w:lineRule="auto"/>
                          <w:rPr>
                            <w:rFonts w:ascii="Arial" w:hAnsi="Arial" w:cs="Arial"/>
                            <w:sz w:val="20"/>
                          </w:rPr>
                        </w:pPr>
                      </w:p>
                      <w:p w14:paraId="3BA0A8A9" w14:textId="77777777" w:rsidR="00776E11" w:rsidRDefault="00776E11" w:rsidP="00776E11">
                        <w:pPr>
                          <w:tabs>
                            <w:tab w:val="left" w:pos="2410"/>
                          </w:tabs>
                          <w:spacing w:line="240" w:lineRule="auto"/>
                          <w:rPr>
                            <w:rFonts w:ascii="Arial" w:hAnsi="Arial" w:cs="Arial"/>
                            <w:sz w:val="20"/>
                          </w:rPr>
                        </w:pPr>
                      </w:p>
                      <w:p w14:paraId="1D732C65" w14:textId="77777777" w:rsidR="00776E11" w:rsidRDefault="00776E11" w:rsidP="00776E11">
                        <w:pPr>
                          <w:tabs>
                            <w:tab w:val="left" w:pos="2410"/>
                          </w:tabs>
                          <w:spacing w:line="240" w:lineRule="auto"/>
                          <w:rPr>
                            <w:rFonts w:ascii="Arial" w:hAnsi="Arial" w:cs="Arial"/>
                            <w:sz w:val="20"/>
                          </w:rPr>
                        </w:pPr>
                      </w:p>
                      <w:p w14:paraId="667ADFBA" w14:textId="77777777" w:rsidR="00776E11" w:rsidRDefault="00776E11" w:rsidP="00776E11">
                        <w:pPr>
                          <w:tabs>
                            <w:tab w:val="left" w:pos="2410"/>
                          </w:tabs>
                          <w:spacing w:line="240" w:lineRule="auto"/>
                          <w:rPr>
                            <w:rFonts w:ascii="Arial" w:hAnsi="Arial" w:cs="Arial"/>
                            <w:sz w:val="20"/>
                          </w:rPr>
                        </w:pPr>
                      </w:p>
                      <w:p w14:paraId="12E5D5E3" w14:textId="77777777" w:rsidR="00776E11" w:rsidRDefault="00776E11" w:rsidP="00776E11">
                        <w:pPr>
                          <w:tabs>
                            <w:tab w:val="left" w:pos="2410"/>
                          </w:tabs>
                          <w:spacing w:line="240" w:lineRule="auto"/>
                          <w:rPr>
                            <w:rFonts w:ascii="Arial" w:hAnsi="Arial" w:cs="Arial"/>
                            <w:sz w:val="20"/>
                          </w:rPr>
                        </w:pPr>
                      </w:p>
                      <w:p w14:paraId="164B2DD9" w14:textId="77777777" w:rsidR="00776E11" w:rsidRDefault="00776E11" w:rsidP="00776E11">
                        <w:pPr>
                          <w:tabs>
                            <w:tab w:val="left" w:pos="2410"/>
                          </w:tabs>
                          <w:spacing w:line="240" w:lineRule="auto"/>
                          <w:rPr>
                            <w:rFonts w:ascii="Arial" w:hAnsi="Arial" w:cs="Arial"/>
                            <w:sz w:val="20"/>
                          </w:rPr>
                        </w:pPr>
                      </w:p>
                      <w:p w14:paraId="5D2AA324" w14:textId="77777777" w:rsidR="00776E11" w:rsidRDefault="00776E11" w:rsidP="00776E11">
                        <w:pPr>
                          <w:tabs>
                            <w:tab w:val="left" w:pos="2410"/>
                          </w:tabs>
                          <w:spacing w:line="240" w:lineRule="auto"/>
                          <w:rPr>
                            <w:rFonts w:ascii="Arial" w:hAnsi="Arial" w:cs="Arial"/>
                            <w:sz w:val="20"/>
                          </w:rPr>
                        </w:pPr>
                      </w:p>
                      <w:p w14:paraId="47C17697" w14:textId="77777777" w:rsidR="00776E11" w:rsidRDefault="00776E11" w:rsidP="00776E11">
                        <w:pPr>
                          <w:tabs>
                            <w:tab w:val="left" w:pos="2410"/>
                          </w:tabs>
                          <w:spacing w:line="240" w:lineRule="auto"/>
                          <w:rPr>
                            <w:rFonts w:ascii="Arial" w:hAnsi="Arial" w:cs="Arial"/>
                            <w:sz w:val="20"/>
                          </w:rPr>
                        </w:pPr>
                      </w:p>
                      <w:p w14:paraId="63EF68E1" w14:textId="77777777" w:rsidR="00776E11" w:rsidRDefault="00776E11" w:rsidP="00776E11">
                        <w:pPr>
                          <w:tabs>
                            <w:tab w:val="left" w:pos="2410"/>
                          </w:tabs>
                          <w:spacing w:line="240" w:lineRule="auto"/>
                          <w:rPr>
                            <w:rFonts w:ascii="Arial" w:hAnsi="Arial" w:cs="Arial"/>
                            <w:sz w:val="20"/>
                          </w:rPr>
                        </w:pPr>
                      </w:p>
                      <w:p w14:paraId="72975A66" w14:textId="77777777" w:rsidR="00776E11" w:rsidRDefault="00776E11" w:rsidP="00776E11">
                        <w:pPr>
                          <w:tabs>
                            <w:tab w:val="left" w:pos="2410"/>
                          </w:tabs>
                          <w:spacing w:line="240" w:lineRule="auto"/>
                          <w:rPr>
                            <w:rFonts w:ascii="Arial" w:hAnsi="Arial" w:cs="Arial"/>
                            <w:sz w:val="20"/>
                          </w:rPr>
                        </w:pPr>
                      </w:p>
                      <w:p w14:paraId="3373F304" w14:textId="77777777" w:rsidR="00776E11" w:rsidRDefault="00776E11" w:rsidP="00776E11">
                        <w:pPr>
                          <w:tabs>
                            <w:tab w:val="left" w:pos="2410"/>
                          </w:tabs>
                          <w:spacing w:line="240" w:lineRule="auto"/>
                          <w:rPr>
                            <w:rFonts w:ascii="Arial" w:hAnsi="Arial" w:cs="Arial"/>
                            <w:sz w:val="20"/>
                          </w:rPr>
                        </w:pPr>
                      </w:p>
                      <w:p w14:paraId="023EB2F4" w14:textId="77777777" w:rsidR="00776E11" w:rsidRDefault="00776E11" w:rsidP="00776E11">
                        <w:pPr>
                          <w:tabs>
                            <w:tab w:val="left" w:pos="2410"/>
                          </w:tabs>
                          <w:spacing w:line="240" w:lineRule="auto"/>
                          <w:rPr>
                            <w:rFonts w:ascii="Arial" w:hAnsi="Arial" w:cs="Arial"/>
                            <w:sz w:val="20"/>
                          </w:rPr>
                        </w:pPr>
                      </w:p>
                      <w:p w14:paraId="3A63ED98" w14:textId="77777777" w:rsidR="00776E11" w:rsidRPr="00D743CB" w:rsidRDefault="00776E11" w:rsidP="00776E11">
                        <w:pPr>
                          <w:tabs>
                            <w:tab w:val="left" w:pos="2410"/>
                          </w:tabs>
                          <w:spacing w:line="240" w:lineRule="auto"/>
                          <w:rPr>
                            <w:rFonts w:ascii="Arial" w:hAnsi="Arial" w:cs="Arial"/>
                            <w:sz w:val="20"/>
                          </w:rPr>
                        </w:pPr>
                      </w:p>
                    </w:txbxContent>
                  </v:textbox>
                </v:shape>
                <w10:wrap anchorx="margin"/>
              </v:group>
            </w:pict>
          </mc:Fallback>
        </mc:AlternateContent>
      </w:r>
    </w:p>
    <w:p w14:paraId="6B370250" w14:textId="77777777" w:rsidR="00776E11" w:rsidRDefault="00776E11" w:rsidP="00776E11">
      <w:pPr>
        <w:pStyle w:val="a4"/>
        <w:tabs>
          <w:tab w:val="left" w:pos="11199"/>
        </w:tabs>
        <w:kinsoku w:val="0"/>
        <w:overflowPunct w:val="0"/>
        <w:ind w:left="1758" w:right="227"/>
        <w:jc w:val="both"/>
        <w:rPr>
          <w:sz w:val="20"/>
          <w:szCs w:val="20"/>
          <w:lang w:val="el-GR"/>
        </w:rPr>
      </w:pPr>
    </w:p>
    <w:p w14:paraId="38609672" w14:textId="77777777" w:rsidR="00776E11" w:rsidRDefault="00776E11" w:rsidP="00776E11">
      <w:pPr>
        <w:pStyle w:val="a4"/>
        <w:tabs>
          <w:tab w:val="left" w:pos="11199"/>
        </w:tabs>
        <w:kinsoku w:val="0"/>
        <w:overflowPunct w:val="0"/>
        <w:ind w:left="1758" w:right="227"/>
        <w:jc w:val="both"/>
        <w:rPr>
          <w:sz w:val="20"/>
          <w:szCs w:val="20"/>
          <w:lang w:val="el-GR"/>
        </w:rPr>
      </w:pPr>
    </w:p>
    <w:p w14:paraId="6C787618" w14:textId="77777777" w:rsidR="00776E11" w:rsidRPr="00231CC6" w:rsidRDefault="00776E11" w:rsidP="00776E11">
      <w:pPr>
        <w:pStyle w:val="a4"/>
        <w:tabs>
          <w:tab w:val="left" w:pos="11199"/>
        </w:tabs>
        <w:kinsoku w:val="0"/>
        <w:overflowPunct w:val="0"/>
        <w:ind w:left="1758" w:right="227"/>
        <w:jc w:val="both"/>
        <w:rPr>
          <w:sz w:val="20"/>
          <w:szCs w:val="20"/>
          <w:lang w:val="el-GR"/>
        </w:rPr>
      </w:pPr>
    </w:p>
    <w:p w14:paraId="64575906" w14:textId="77777777" w:rsidR="00776E11" w:rsidRDefault="00776E11" w:rsidP="00776E11">
      <w:pPr>
        <w:pStyle w:val="a4"/>
        <w:tabs>
          <w:tab w:val="left" w:pos="11199"/>
        </w:tabs>
        <w:kinsoku w:val="0"/>
        <w:overflowPunct w:val="0"/>
        <w:ind w:right="227"/>
        <w:jc w:val="both"/>
        <w:rPr>
          <w:sz w:val="20"/>
          <w:szCs w:val="20"/>
          <w:lang w:val="el-GR"/>
        </w:rPr>
      </w:pPr>
    </w:p>
    <w:p w14:paraId="05FF2103" w14:textId="77777777" w:rsidR="00776E11" w:rsidRDefault="00776E11" w:rsidP="00776E11">
      <w:pPr>
        <w:pStyle w:val="a4"/>
        <w:tabs>
          <w:tab w:val="left" w:pos="11199"/>
        </w:tabs>
        <w:kinsoku w:val="0"/>
        <w:overflowPunct w:val="0"/>
        <w:ind w:left="1758" w:right="227"/>
        <w:jc w:val="both"/>
        <w:rPr>
          <w:sz w:val="20"/>
          <w:szCs w:val="20"/>
          <w:lang w:val="el-GR"/>
        </w:rPr>
      </w:pPr>
    </w:p>
    <w:p w14:paraId="27A21DCC" w14:textId="77777777" w:rsidR="00776E11" w:rsidRDefault="00776E11" w:rsidP="00776E11">
      <w:pPr>
        <w:pStyle w:val="a4"/>
        <w:tabs>
          <w:tab w:val="left" w:pos="11199"/>
        </w:tabs>
        <w:kinsoku w:val="0"/>
        <w:overflowPunct w:val="0"/>
        <w:ind w:left="1758" w:right="227"/>
        <w:jc w:val="both"/>
        <w:rPr>
          <w:sz w:val="20"/>
          <w:szCs w:val="20"/>
          <w:lang w:val="el-GR"/>
        </w:rPr>
      </w:pPr>
    </w:p>
    <w:p w14:paraId="115DED4F" w14:textId="77777777" w:rsidR="00776E11" w:rsidRDefault="00776E11" w:rsidP="00776E11">
      <w:pPr>
        <w:pStyle w:val="a4"/>
        <w:tabs>
          <w:tab w:val="left" w:pos="11199"/>
        </w:tabs>
        <w:kinsoku w:val="0"/>
        <w:overflowPunct w:val="0"/>
        <w:ind w:left="1758" w:right="227"/>
        <w:jc w:val="both"/>
        <w:rPr>
          <w:sz w:val="20"/>
          <w:szCs w:val="20"/>
          <w:lang w:val="el-GR"/>
        </w:rPr>
      </w:pPr>
    </w:p>
    <w:p w14:paraId="5B65AD24" w14:textId="77777777" w:rsidR="00776E11" w:rsidRDefault="00776E11" w:rsidP="00776E11">
      <w:pPr>
        <w:pStyle w:val="a4"/>
        <w:tabs>
          <w:tab w:val="left" w:pos="11199"/>
        </w:tabs>
        <w:kinsoku w:val="0"/>
        <w:overflowPunct w:val="0"/>
        <w:ind w:left="1758" w:right="227"/>
        <w:jc w:val="both"/>
        <w:rPr>
          <w:sz w:val="20"/>
          <w:szCs w:val="20"/>
          <w:lang w:val="el-GR"/>
        </w:rPr>
      </w:pPr>
    </w:p>
    <w:p w14:paraId="66B015D1" w14:textId="77777777" w:rsidR="00776E11" w:rsidRDefault="00776E11" w:rsidP="00776E11">
      <w:pPr>
        <w:pStyle w:val="a4"/>
        <w:tabs>
          <w:tab w:val="left" w:pos="11199"/>
        </w:tabs>
        <w:kinsoku w:val="0"/>
        <w:overflowPunct w:val="0"/>
        <w:ind w:left="1758" w:right="227"/>
        <w:jc w:val="both"/>
        <w:rPr>
          <w:sz w:val="20"/>
          <w:szCs w:val="20"/>
          <w:lang w:val="el-GR"/>
        </w:rPr>
      </w:pPr>
    </w:p>
    <w:p w14:paraId="0C41E7AB" w14:textId="77777777" w:rsidR="00776E11" w:rsidRDefault="00776E11" w:rsidP="00776E11">
      <w:pPr>
        <w:pStyle w:val="a4"/>
        <w:tabs>
          <w:tab w:val="left" w:pos="11199"/>
        </w:tabs>
        <w:kinsoku w:val="0"/>
        <w:overflowPunct w:val="0"/>
        <w:ind w:left="1758" w:right="227"/>
        <w:jc w:val="both"/>
        <w:rPr>
          <w:sz w:val="20"/>
          <w:szCs w:val="20"/>
          <w:lang w:val="el-GR"/>
        </w:rPr>
      </w:pPr>
    </w:p>
    <w:p w14:paraId="57613E72" w14:textId="77777777" w:rsidR="00776E11" w:rsidRDefault="00776E11" w:rsidP="00776E11">
      <w:pPr>
        <w:pStyle w:val="a4"/>
        <w:tabs>
          <w:tab w:val="left" w:pos="11199"/>
        </w:tabs>
        <w:kinsoku w:val="0"/>
        <w:overflowPunct w:val="0"/>
        <w:ind w:left="1758" w:right="227"/>
        <w:jc w:val="both"/>
        <w:rPr>
          <w:sz w:val="20"/>
          <w:szCs w:val="20"/>
          <w:lang w:val="el-GR"/>
        </w:rPr>
      </w:pPr>
    </w:p>
    <w:p w14:paraId="48A58583" w14:textId="77777777" w:rsidR="00776E11" w:rsidRDefault="00776E11" w:rsidP="00776E11">
      <w:pPr>
        <w:pStyle w:val="a4"/>
        <w:tabs>
          <w:tab w:val="left" w:pos="11199"/>
        </w:tabs>
        <w:kinsoku w:val="0"/>
        <w:overflowPunct w:val="0"/>
        <w:ind w:left="1758" w:right="227"/>
        <w:jc w:val="both"/>
        <w:rPr>
          <w:sz w:val="20"/>
          <w:szCs w:val="20"/>
          <w:lang w:val="el-GR"/>
        </w:rPr>
      </w:pPr>
    </w:p>
    <w:p w14:paraId="10FFD439" w14:textId="77777777" w:rsidR="00776E11" w:rsidRDefault="00776E11" w:rsidP="00776E11">
      <w:pPr>
        <w:pStyle w:val="a4"/>
        <w:tabs>
          <w:tab w:val="left" w:pos="11199"/>
        </w:tabs>
        <w:kinsoku w:val="0"/>
        <w:overflowPunct w:val="0"/>
        <w:ind w:left="1758" w:right="227"/>
        <w:jc w:val="both"/>
        <w:rPr>
          <w:sz w:val="20"/>
          <w:szCs w:val="20"/>
          <w:lang w:val="el-GR"/>
        </w:rPr>
      </w:pPr>
    </w:p>
    <w:p w14:paraId="417D5C2F" w14:textId="77777777" w:rsidR="00776E11" w:rsidRDefault="00776E11" w:rsidP="00776E11">
      <w:pPr>
        <w:pStyle w:val="a4"/>
        <w:tabs>
          <w:tab w:val="left" w:pos="11199"/>
        </w:tabs>
        <w:kinsoku w:val="0"/>
        <w:overflowPunct w:val="0"/>
        <w:ind w:left="1758" w:right="227"/>
        <w:jc w:val="both"/>
        <w:rPr>
          <w:sz w:val="20"/>
          <w:szCs w:val="20"/>
          <w:lang w:val="el-GR"/>
        </w:rPr>
      </w:pPr>
    </w:p>
    <w:p w14:paraId="014649E0" w14:textId="77777777" w:rsidR="00776E11" w:rsidRDefault="00776E11" w:rsidP="00776E11">
      <w:pPr>
        <w:pStyle w:val="a4"/>
        <w:tabs>
          <w:tab w:val="left" w:pos="11199"/>
        </w:tabs>
        <w:kinsoku w:val="0"/>
        <w:overflowPunct w:val="0"/>
        <w:ind w:left="1758" w:right="227"/>
        <w:jc w:val="both"/>
        <w:rPr>
          <w:sz w:val="20"/>
          <w:szCs w:val="20"/>
          <w:lang w:val="el-GR"/>
        </w:rPr>
      </w:pPr>
    </w:p>
    <w:p w14:paraId="008CBED7" w14:textId="77777777" w:rsidR="00776E11" w:rsidRDefault="00776E11" w:rsidP="00776E11">
      <w:pPr>
        <w:pStyle w:val="a4"/>
        <w:tabs>
          <w:tab w:val="left" w:pos="11199"/>
        </w:tabs>
        <w:kinsoku w:val="0"/>
        <w:overflowPunct w:val="0"/>
        <w:ind w:left="1758" w:right="227"/>
        <w:jc w:val="both"/>
        <w:rPr>
          <w:sz w:val="20"/>
          <w:szCs w:val="20"/>
          <w:lang w:val="el-GR"/>
        </w:rPr>
      </w:pPr>
    </w:p>
    <w:p w14:paraId="3281F4E1" w14:textId="77777777" w:rsidR="00776E11" w:rsidRDefault="00776E11" w:rsidP="00776E11">
      <w:pPr>
        <w:pStyle w:val="a4"/>
        <w:tabs>
          <w:tab w:val="left" w:pos="11199"/>
        </w:tabs>
        <w:kinsoku w:val="0"/>
        <w:overflowPunct w:val="0"/>
        <w:ind w:left="1758" w:right="227"/>
        <w:jc w:val="both"/>
        <w:rPr>
          <w:sz w:val="20"/>
          <w:szCs w:val="20"/>
          <w:lang w:val="el-GR"/>
        </w:rPr>
      </w:pPr>
    </w:p>
    <w:p w14:paraId="3E9C389C" w14:textId="77777777" w:rsidR="00776E11" w:rsidRDefault="00776E11" w:rsidP="00776E11">
      <w:pPr>
        <w:pStyle w:val="a4"/>
        <w:tabs>
          <w:tab w:val="left" w:pos="11199"/>
        </w:tabs>
        <w:kinsoku w:val="0"/>
        <w:overflowPunct w:val="0"/>
        <w:ind w:right="227"/>
        <w:jc w:val="both"/>
        <w:rPr>
          <w:sz w:val="20"/>
          <w:szCs w:val="20"/>
          <w:lang w:val="el-GR"/>
        </w:rPr>
      </w:pPr>
    </w:p>
    <w:p w14:paraId="0A349433" w14:textId="77777777" w:rsidR="00776E11" w:rsidRPr="00153A37" w:rsidRDefault="00776E11" w:rsidP="00776E11">
      <w:pPr>
        <w:pStyle w:val="1"/>
        <w:pBdr>
          <w:top w:val="single" w:sz="8" w:space="1" w:color="00B0F0"/>
          <w:bottom w:val="single" w:sz="8" w:space="1" w:color="00B0F0"/>
        </w:pBdr>
        <w:kinsoku w:val="0"/>
        <w:overflowPunct w:val="0"/>
        <w:spacing w:before="0"/>
        <w:ind w:left="1758" w:right="227"/>
        <w:rPr>
          <w:b w:val="0"/>
          <w:bCs w:val="0"/>
          <w:color w:val="000000"/>
        </w:rPr>
      </w:pPr>
      <w:bookmarkStart w:id="4" w:name="_Hlk27041085"/>
      <w:r w:rsidRPr="00B41659">
        <w:rPr>
          <w:color w:val="63A1AA"/>
        </w:rPr>
        <w:lastRenderedPageBreak/>
        <w:t>Ζώνη</w:t>
      </w:r>
      <w:bookmarkEnd w:id="4"/>
      <w:r w:rsidRPr="00B41659">
        <w:rPr>
          <w:color w:val="63A1AA"/>
        </w:rPr>
        <w:t xml:space="preserve"> του Ευρώ (</w:t>
      </w:r>
      <w:proofErr w:type="spellStart"/>
      <w:r w:rsidRPr="00B41659">
        <w:rPr>
          <w:color w:val="63A1AA"/>
        </w:rPr>
        <w:t>ΖτΕ</w:t>
      </w:r>
      <w:proofErr w:type="spellEnd"/>
      <w:r w:rsidRPr="00B41659">
        <w:rPr>
          <w:color w:val="63A1AA"/>
        </w:rPr>
        <w:t>)</w:t>
      </w:r>
    </w:p>
    <w:p w14:paraId="1E262A51" w14:textId="77777777" w:rsidR="00776E11" w:rsidRPr="00961DEB" w:rsidRDefault="00776E11" w:rsidP="00776E11">
      <w:pPr>
        <w:pStyle w:val="a4"/>
        <w:kinsoku w:val="0"/>
        <w:overflowPunct w:val="0"/>
        <w:ind w:left="1758" w:right="227"/>
        <w:rPr>
          <w:color w:val="00B050"/>
          <w:lang w:val="el-GR"/>
        </w:rPr>
      </w:pPr>
    </w:p>
    <w:p w14:paraId="39322B56" w14:textId="77777777" w:rsidR="00776E11" w:rsidRDefault="00776E11" w:rsidP="00776E11">
      <w:pPr>
        <w:pStyle w:val="a4"/>
        <w:tabs>
          <w:tab w:val="left" w:pos="2880"/>
        </w:tabs>
        <w:kinsoku w:val="0"/>
        <w:overflowPunct w:val="0"/>
        <w:ind w:left="1758" w:right="227"/>
        <w:jc w:val="both"/>
        <w:rPr>
          <w:b/>
          <w:bCs/>
          <w:noProof/>
          <w:sz w:val="20"/>
          <w:szCs w:val="20"/>
          <w:lang w:val="el-GR" w:eastAsia="el-GR"/>
        </w:rPr>
      </w:pPr>
      <w:r>
        <w:rPr>
          <w:b/>
          <w:bCs/>
          <w:noProof/>
          <w:sz w:val="20"/>
          <w:szCs w:val="20"/>
          <w:lang w:val="el-GR" w:eastAsia="el-GR"/>
        </w:rPr>
        <w:t>Εα</w:t>
      </w:r>
      <w:r w:rsidRPr="0026212E">
        <w:rPr>
          <w:b/>
          <w:bCs/>
          <w:noProof/>
          <w:sz w:val="20"/>
          <w:szCs w:val="20"/>
          <w:lang w:val="el-GR" w:eastAsia="el-GR"/>
        </w:rPr>
        <w:t>ρινές Προβλέψεις Ευρωπαϊκής Επιτροπής</w:t>
      </w:r>
      <w:r>
        <w:rPr>
          <w:b/>
          <w:bCs/>
          <w:noProof/>
          <w:sz w:val="20"/>
          <w:szCs w:val="20"/>
          <w:lang w:val="el-GR" w:eastAsia="el-GR"/>
        </w:rPr>
        <w:t xml:space="preserve"> για το ΑΕΠ</w:t>
      </w:r>
    </w:p>
    <w:p w14:paraId="54B547C6" w14:textId="77777777" w:rsidR="00776E11" w:rsidRDefault="00776E11" w:rsidP="00776E11">
      <w:pPr>
        <w:pStyle w:val="a4"/>
        <w:tabs>
          <w:tab w:val="left" w:pos="2880"/>
        </w:tabs>
        <w:kinsoku w:val="0"/>
        <w:overflowPunct w:val="0"/>
        <w:ind w:left="1758" w:right="227"/>
        <w:jc w:val="both"/>
        <w:rPr>
          <w:b/>
          <w:bCs/>
          <w:noProof/>
          <w:sz w:val="20"/>
          <w:szCs w:val="20"/>
          <w:lang w:val="el-GR" w:eastAsia="el-GR"/>
        </w:rPr>
      </w:pPr>
    </w:p>
    <w:p w14:paraId="498F6659" w14:textId="77777777" w:rsidR="00776E11" w:rsidRPr="00A72998" w:rsidRDefault="00776E11" w:rsidP="00776E11">
      <w:pPr>
        <w:pStyle w:val="a4"/>
        <w:tabs>
          <w:tab w:val="left" w:pos="2880"/>
        </w:tabs>
        <w:kinsoku w:val="0"/>
        <w:overflowPunct w:val="0"/>
        <w:ind w:left="1758" w:right="227"/>
        <w:jc w:val="both"/>
        <w:rPr>
          <w:noProof/>
          <w:sz w:val="20"/>
          <w:szCs w:val="20"/>
          <w:lang w:val="el-GR" w:eastAsia="el-GR"/>
        </w:rPr>
      </w:pPr>
      <w:r w:rsidRPr="00A72998">
        <w:rPr>
          <w:noProof/>
          <w:sz w:val="20"/>
          <w:szCs w:val="20"/>
          <w:lang w:val="el-GR" w:eastAsia="el-GR"/>
        </w:rPr>
        <w:t xml:space="preserve">Σύμφωνα με την Ευρωπαϊκή Επιτροπή (European Economic Forecast, </w:t>
      </w:r>
      <w:r w:rsidRPr="00A72998">
        <w:rPr>
          <w:noProof/>
          <w:sz w:val="20"/>
          <w:szCs w:val="20"/>
          <w:lang w:eastAsia="el-GR"/>
        </w:rPr>
        <w:t>Spring</w:t>
      </w:r>
      <w:r w:rsidRPr="00A72998">
        <w:rPr>
          <w:noProof/>
          <w:sz w:val="20"/>
          <w:szCs w:val="20"/>
          <w:lang w:val="el-GR" w:eastAsia="el-GR"/>
        </w:rPr>
        <w:t xml:space="preserve"> 2021), μετά την άνευ προηγουμένου συρρίκνωση του ΑΕΠ κατά 6,6%, το 2020, η οικονομία στη ΖτΕ προβλέπεται να ανακάμψει κατά 4,3%, το 2021 και κατά 4,4%, το 2022. Οι εαρινές προβλέψεις της Ευρωπαϊκής Επιτροπής</w:t>
      </w:r>
      <w:r>
        <w:rPr>
          <w:noProof/>
          <w:sz w:val="20"/>
          <w:szCs w:val="20"/>
          <w:lang w:val="el-GR" w:eastAsia="el-GR"/>
        </w:rPr>
        <w:t>,</w:t>
      </w:r>
      <w:r w:rsidRPr="00A72998">
        <w:rPr>
          <w:noProof/>
          <w:sz w:val="20"/>
          <w:szCs w:val="20"/>
          <w:lang w:val="el-GR" w:eastAsia="el-GR"/>
        </w:rPr>
        <w:t xml:space="preserve"> για τα έτη 2021-</w:t>
      </w:r>
      <w:r>
        <w:rPr>
          <w:noProof/>
          <w:sz w:val="20"/>
          <w:szCs w:val="20"/>
          <w:lang w:val="el-GR" w:eastAsia="el-GR"/>
        </w:rPr>
        <w:t>20</w:t>
      </w:r>
      <w:r w:rsidRPr="00A72998">
        <w:rPr>
          <w:noProof/>
          <w:sz w:val="20"/>
          <w:szCs w:val="20"/>
          <w:lang w:val="el-GR" w:eastAsia="el-GR"/>
        </w:rPr>
        <w:t>22</w:t>
      </w:r>
      <w:r>
        <w:rPr>
          <w:noProof/>
          <w:sz w:val="20"/>
          <w:szCs w:val="20"/>
          <w:lang w:val="el-GR" w:eastAsia="el-GR"/>
        </w:rPr>
        <w:t>,</w:t>
      </w:r>
      <w:r w:rsidRPr="00A72998">
        <w:rPr>
          <w:noProof/>
          <w:sz w:val="20"/>
          <w:szCs w:val="20"/>
          <w:lang w:val="el-GR" w:eastAsia="el-GR"/>
        </w:rPr>
        <w:t xml:space="preserve"> έχουν αναθεωρηθεί επί τα βελτίω</w:t>
      </w:r>
      <w:r>
        <w:rPr>
          <w:noProof/>
          <w:sz w:val="20"/>
          <w:szCs w:val="20"/>
          <w:lang w:val="el-GR" w:eastAsia="el-GR"/>
        </w:rPr>
        <w:t>,</w:t>
      </w:r>
      <w:r w:rsidRPr="00A72998">
        <w:rPr>
          <w:noProof/>
          <w:sz w:val="20"/>
          <w:szCs w:val="20"/>
          <w:lang w:val="el-GR" w:eastAsia="el-GR"/>
        </w:rPr>
        <w:t xml:space="preserve"> σε σύγκριση με τις χειμερινές προβλέψεις (European Economic Forecast, </w:t>
      </w:r>
      <w:r w:rsidRPr="00A72998">
        <w:rPr>
          <w:noProof/>
          <w:sz w:val="20"/>
          <w:szCs w:val="20"/>
          <w:lang w:eastAsia="el-GR"/>
        </w:rPr>
        <w:t>Winter</w:t>
      </w:r>
      <w:r w:rsidRPr="00A72998">
        <w:rPr>
          <w:noProof/>
          <w:sz w:val="20"/>
          <w:szCs w:val="20"/>
          <w:lang w:val="el-GR" w:eastAsia="el-GR"/>
        </w:rPr>
        <w:t xml:space="preserve"> 2021), ως απόρροια των υψηλότερων προσδοκιών για την ανάκαψη της παγκόσμιας οικονομίας και του διεθνούς εμπορίου, καθώς και της αναπτυξιακής ώθησης από το Ταμείο Ανάκαμψης ("Next Generation EU").</w:t>
      </w:r>
    </w:p>
    <w:p w14:paraId="1D5641FF" w14:textId="77777777" w:rsidR="00776E11" w:rsidRPr="00A72998" w:rsidRDefault="00776E11" w:rsidP="00776E11">
      <w:pPr>
        <w:pStyle w:val="a4"/>
        <w:tabs>
          <w:tab w:val="left" w:pos="2880"/>
        </w:tabs>
        <w:kinsoku w:val="0"/>
        <w:overflowPunct w:val="0"/>
        <w:ind w:left="1758" w:right="227"/>
        <w:jc w:val="both"/>
        <w:rPr>
          <w:noProof/>
          <w:sz w:val="20"/>
          <w:szCs w:val="20"/>
          <w:lang w:val="el-GR" w:eastAsia="el-GR"/>
        </w:rPr>
      </w:pPr>
    </w:p>
    <w:p w14:paraId="112E8910" w14:textId="77777777" w:rsidR="00776E11" w:rsidRPr="00A72998" w:rsidRDefault="00776E11" w:rsidP="00776E11">
      <w:pPr>
        <w:pStyle w:val="a4"/>
        <w:tabs>
          <w:tab w:val="left" w:pos="2880"/>
        </w:tabs>
        <w:kinsoku w:val="0"/>
        <w:overflowPunct w:val="0"/>
        <w:ind w:left="1758" w:right="227"/>
        <w:jc w:val="both"/>
        <w:rPr>
          <w:noProof/>
          <w:sz w:val="20"/>
          <w:szCs w:val="20"/>
          <w:lang w:val="el-GR" w:eastAsia="el-GR"/>
        </w:rPr>
      </w:pPr>
      <w:r w:rsidRPr="00A72998">
        <w:rPr>
          <w:noProof/>
          <w:sz w:val="20"/>
          <w:szCs w:val="20"/>
          <w:lang w:val="el-GR" w:eastAsia="el-GR"/>
        </w:rPr>
        <w:t xml:space="preserve">Η εισαγωγή νέων μέτρων κοινωνικής αποστασιοποίησης σε διάφορες περιοχές της Ευρώπης, κατά τους τελευταίους μήνες του 2020, προκειμένου να περιοριστεί η μετάδοση του κορωνοϊού, είχαν αρνητική επίδραση στο ΑΕΠ της ΖτΕ, τόσο στο τέταρτο τρίμηνο του 2020 (-4,9%, σε ετήσια βάση), όσο και στο πρώτο τρίμηνο του 2021 (-1,8%, σε τήσια βάση). </w:t>
      </w:r>
      <w:r w:rsidRPr="00A72998">
        <w:rPr>
          <w:noProof/>
          <w:sz w:val="20"/>
          <w:szCs w:val="20"/>
          <w:lang w:eastAsia="el-GR"/>
        </w:rPr>
        <w:t>O</w:t>
      </w:r>
      <w:r w:rsidRPr="00A72998">
        <w:rPr>
          <w:noProof/>
          <w:sz w:val="20"/>
          <w:szCs w:val="20"/>
          <w:lang w:val="el-GR" w:eastAsia="el-GR"/>
        </w:rPr>
        <w:t>ι προβλέψεις της Ευρωπαϊκής Επιτροπής βασίζονται στην υπόθεση ότι η πρόοδος των εμβολιαστικών προγραμμάτων θα επιτρέψει την επιτάχυνση της άρσης των περιοριστικών μέτρων στις χώρες της Ευρωπαϊκής Ένωσης</w:t>
      </w:r>
      <w:r>
        <w:rPr>
          <w:noProof/>
          <w:sz w:val="20"/>
          <w:szCs w:val="20"/>
          <w:lang w:val="el-GR" w:eastAsia="el-GR"/>
        </w:rPr>
        <w:t>,</w:t>
      </w:r>
      <w:r w:rsidRPr="00A72998">
        <w:rPr>
          <w:noProof/>
          <w:sz w:val="20"/>
          <w:szCs w:val="20"/>
          <w:lang w:val="el-GR" w:eastAsia="el-GR"/>
        </w:rPr>
        <w:t xml:space="preserve"> κατά το δεύτερο εξάμηνο του 2021. Σημειώνεται, ωστόσο, ότι σύμφωνα με την Ευρωπαϊκή Επιτροπή, παρά το υψηλό ποσοστό των εμβολιασμένων πολιτών, περιοριστικά μέτρα θα υπάρχουν και το 2022, αν και σε μικρό βαθμό.   </w:t>
      </w:r>
    </w:p>
    <w:p w14:paraId="414CF1D8" w14:textId="77777777" w:rsidR="00776E11" w:rsidRPr="00A72998" w:rsidRDefault="00776E11" w:rsidP="00776E11">
      <w:pPr>
        <w:pStyle w:val="a4"/>
        <w:tabs>
          <w:tab w:val="left" w:pos="2880"/>
        </w:tabs>
        <w:kinsoku w:val="0"/>
        <w:overflowPunct w:val="0"/>
        <w:ind w:left="1758" w:right="227"/>
        <w:jc w:val="both"/>
        <w:rPr>
          <w:noProof/>
          <w:sz w:val="20"/>
          <w:szCs w:val="20"/>
          <w:lang w:val="el-GR" w:eastAsia="el-GR"/>
        </w:rPr>
      </w:pPr>
    </w:p>
    <w:p w14:paraId="3FE6CCCD" w14:textId="77777777" w:rsidR="00776E11" w:rsidRPr="00A72998" w:rsidRDefault="00776E11" w:rsidP="00776E11">
      <w:pPr>
        <w:pStyle w:val="a4"/>
        <w:tabs>
          <w:tab w:val="left" w:pos="2880"/>
        </w:tabs>
        <w:kinsoku w:val="0"/>
        <w:overflowPunct w:val="0"/>
        <w:ind w:left="1758" w:right="227"/>
        <w:jc w:val="both"/>
        <w:rPr>
          <w:noProof/>
          <w:sz w:val="20"/>
          <w:szCs w:val="20"/>
          <w:lang w:val="el-GR" w:eastAsia="el-GR"/>
        </w:rPr>
      </w:pPr>
      <w:r w:rsidRPr="00A72998">
        <w:rPr>
          <w:noProof/>
          <w:sz w:val="20"/>
          <w:szCs w:val="20"/>
          <w:lang w:val="el-GR" w:eastAsia="el-GR"/>
        </w:rPr>
        <w:t>Όσον αφορά στα κράτη-μέλη της ΖτΕ, όλα αναμένεται να καταγράψουν θετικό ρυθμό μεταβολής του ΑΕΠ, το 2021, ο οποίος κυμαίνεται μεταξύ 2,3% και 5,9%. Η Ισπανία, η οποία κατέγραψε τη μεγαλύτερη ύφεση</w:t>
      </w:r>
      <w:r>
        <w:rPr>
          <w:noProof/>
          <w:sz w:val="20"/>
          <w:szCs w:val="20"/>
          <w:lang w:val="el-GR" w:eastAsia="el-GR"/>
        </w:rPr>
        <w:t>,</w:t>
      </w:r>
      <w:r w:rsidRPr="00A72998">
        <w:rPr>
          <w:noProof/>
          <w:sz w:val="20"/>
          <w:szCs w:val="20"/>
          <w:lang w:val="el-GR" w:eastAsia="el-GR"/>
        </w:rPr>
        <w:t xml:space="preserve"> το 2020 (-10,8%), προβλέπεται να σημειώσει την ισχυρότερη ανάκαμψη</w:t>
      </w:r>
      <w:r>
        <w:rPr>
          <w:noProof/>
          <w:sz w:val="20"/>
          <w:szCs w:val="20"/>
          <w:lang w:val="el-GR" w:eastAsia="el-GR"/>
        </w:rPr>
        <w:t>,</w:t>
      </w:r>
      <w:r w:rsidRPr="00A72998">
        <w:rPr>
          <w:noProof/>
          <w:sz w:val="20"/>
          <w:szCs w:val="20"/>
          <w:lang w:val="el-GR" w:eastAsia="el-GR"/>
        </w:rPr>
        <w:t xml:space="preserve"> το 2021 (5,9%), ακολουθούμενη από την Γαλλία (5,7%). Αντίθετα, η Ολλανδία (2,3%) προβλέπεται να σημειώ</w:t>
      </w:r>
      <w:r>
        <w:rPr>
          <w:noProof/>
          <w:sz w:val="20"/>
          <w:szCs w:val="20"/>
          <w:lang w:val="el-GR" w:eastAsia="el-GR"/>
        </w:rPr>
        <w:t>σ</w:t>
      </w:r>
      <w:r w:rsidRPr="00A72998">
        <w:rPr>
          <w:noProof/>
          <w:sz w:val="20"/>
          <w:szCs w:val="20"/>
          <w:lang w:val="el-GR" w:eastAsia="el-GR"/>
        </w:rPr>
        <w:t xml:space="preserve">ει τον ασθενέστερο ρυθμό οικονομικής μεγέθυνσης (Γράφημα </w:t>
      </w:r>
      <w:r w:rsidRPr="00F3293D">
        <w:rPr>
          <w:noProof/>
          <w:sz w:val="20"/>
          <w:szCs w:val="20"/>
          <w:lang w:val="el-GR" w:eastAsia="el-GR"/>
        </w:rPr>
        <w:t>8</w:t>
      </w:r>
      <w:r w:rsidRPr="00A72998">
        <w:rPr>
          <w:noProof/>
          <w:sz w:val="20"/>
          <w:szCs w:val="20"/>
          <w:lang w:val="el-GR" w:eastAsia="el-GR"/>
        </w:rPr>
        <w:t>). Για το 2022, αναμένεται εντονότερη ανάκαμψη στην πλειονότητα των κρατών-μελών, με τη μεγαλύτερη αυξήση του ΑΕΠ να καταγράφεται εκ νέου στην Ισπανία (6,8%). Οι σημαντικές διαφοροποιήσεις των ρυθμών οικονομικής μεγέθυνσης</w:t>
      </w:r>
      <w:r>
        <w:rPr>
          <w:noProof/>
          <w:sz w:val="20"/>
          <w:szCs w:val="20"/>
          <w:lang w:val="el-GR" w:eastAsia="el-GR"/>
        </w:rPr>
        <w:t>,</w:t>
      </w:r>
      <w:r w:rsidRPr="00A72998">
        <w:rPr>
          <w:noProof/>
          <w:sz w:val="20"/>
          <w:szCs w:val="20"/>
          <w:lang w:val="el-GR" w:eastAsia="el-GR"/>
        </w:rPr>
        <w:t xml:space="preserve"> για τα έτη 2021-</w:t>
      </w:r>
      <w:r>
        <w:rPr>
          <w:noProof/>
          <w:sz w:val="20"/>
          <w:szCs w:val="20"/>
          <w:lang w:val="el-GR" w:eastAsia="el-GR"/>
        </w:rPr>
        <w:t>20</w:t>
      </w:r>
      <w:r w:rsidRPr="00A72998">
        <w:rPr>
          <w:noProof/>
          <w:sz w:val="20"/>
          <w:szCs w:val="20"/>
          <w:lang w:val="el-GR" w:eastAsia="el-GR"/>
        </w:rPr>
        <w:t>22</w:t>
      </w:r>
      <w:r>
        <w:rPr>
          <w:noProof/>
          <w:sz w:val="20"/>
          <w:szCs w:val="20"/>
          <w:lang w:val="el-GR" w:eastAsia="el-GR"/>
        </w:rPr>
        <w:t>,</w:t>
      </w:r>
      <w:r w:rsidRPr="00A72998">
        <w:rPr>
          <w:noProof/>
          <w:sz w:val="20"/>
          <w:szCs w:val="20"/>
          <w:lang w:val="el-GR" w:eastAsia="el-GR"/>
        </w:rPr>
        <w:t xml:space="preserve"> αποδίδονται, μεταξύ άλλων, στη βαρύτητα που έχει ο τουρισμός για την κάθε οικονομία, στο βαθμό εξωστρέφειας της εκάστοτε οικονομίας, καθώς και στην επίδραση των δημοσιονομικών μέτρων. Σημειώνεται, ωστόσο, ότι, σύμφωνα με την Ευρωπαϊκή Επιτροπή, στην πλειονότητα των κρατών-μελών της Ευρωπαϊκής Ένωσης το ΑΕΠ</w:t>
      </w:r>
      <w:r>
        <w:rPr>
          <w:noProof/>
          <w:sz w:val="20"/>
          <w:szCs w:val="20"/>
          <w:lang w:val="el-GR" w:eastAsia="el-GR"/>
        </w:rPr>
        <w:t>,</w:t>
      </w:r>
      <w:r w:rsidRPr="00A72998">
        <w:rPr>
          <w:noProof/>
          <w:sz w:val="20"/>
          <w:szCs w:val="20"/>
          <w:lang w:val="el-GR" w:eastAsia="el-GR"/>
        </w:rPr>
        <w:t xml:space="preserve"> στο τέλος του 2021</w:t>
      </w:r>
      <w:r>
        <w:rPr>
          <w:noProof/>
          <w:sz w:val="20"/>
          <w:szCs w:val="20"/>
          <w:lang w:val="el-GR" w:eastAsia="el-GR"/>
        </w:rPr>
        <w:t>,</w:t>
      </w:r>
      <w:r w:rsidRPr="00A72998">
        <w:rPr>
          <w:noProof/>
          <w:sz w:val="20"/>
          <w:szCs w:val="20"/>
          <w:lang w:val="el-GR" w:eastAsia="el-GR"/>
        </w:rPr>
        <w:t xml:space="preserve"> θα έχει επιστρέψει στα προ του κορωνοϊού επίπεδα. </w:t>
      </w:r>
    </w:p>
    <w:p w14:paraId="144BAC71" w14:textId="77777777" w:rsidR="00776E11" w:rsidRPr="00A72998" w:rsidRDefault="00776E11" w:rsidP="00776E11">
      <w:pPr>
        <w:pStyle w:val="a4"/>
        <w:tabs>
          <w:tab w:val="left" w:pos="2880"/>
        </w:tabs>
        <w:kinsoku w:val="0"/>
        <w:overflowPunct w:val="0"/>
        <w:ind w:left="1758" w:right="227"/>
        <w:jc w:val="both"/>
        <w:rPr>
          <w:noProof/>
          <w:sz w:val="20"/>
          <w:szCs w:val="20"/>
          <w:lang w:val="el-GR" w:eastAsia="el-GR"/>
        </w:rPr>
      </w:pPr>
    </w:p>
    <w:p w14:paraId="362327F8" w14:textId="77777777" w:rsidR="00776E11" w:rsidRDefault="00776E11" w:rsidP="00776E11">
      <w:pPr>
        <w:pStyle w:val="a4"/>
        <w:tabs>
          <w:tab w:val="left" w:pos="2880"/>
        </w:tabs>
        <w:kinsoku w:val="0"/>
        <w:overflowPunct w:val="0"/>
        <w:ind w:left="1758" w:right="227"/>
        <w:jc w:val="both"/>
        <w:rPr>
          <w:noProof/>
          <w:lang w:val="el-GR" w:eastAsia="el-GR"/>
        </w:rPr>
      </w:pPr>
      <w:r w:rsidRPr="00A72998">
        <w:rPr>
          <w:noProof/>
          <w:sz w:val="20"/>
          <w:szCs w:val="20"/>
          <w:lang w:val="el-GR" w:eastAsia="el-GR"/>
        </w:rPr>
        <w:t xml:space="preserve">Οι προβλέψεις της Ευρωπαϊκής Επιτροπής χαρακτηρίζονται από αβεβαιότητα, καθώς πλειάδα παραγόντων θα μπορούσαν είτε να επιταχύνουν, είτε να επιβραδύνουν το ρυθμό οικονομικής μεγέθυνσης στη ΖτΕ. Οι σημαντικότεροι από αυτούς είναι ο βαθμός επιτυχίας των εμβολιαστικών προγραμμάτων έναντι της νόσου </w:t>
      </w:r>
      <w:r>
        <w:rPr>
          <w:noProof/>
          <w:sz w:val="20"/>
          <w:szCs w:val="20"/>
          <w:lang w:val="el-GR" w:eastAsia="el-GR"/>
        </w:rPr>
        <w:t>του κορωνοϊού</w:t>
      </w:r>
      <w:r w:rsidRPr="00A72998">
        <w:rPr>
          <w:noProof/>
          <w:sz w:val="20"/>
          <w:szCs w:val="20"/>
          <w:lang w:val="el-GR" w:eastAsia="el-GR"/>
        </w:rPr>
        <w:t xml:space="preserve"> και η ταχύτητα άρσης των περιοριστικών μέτρων. Επιπρόσθετοι παράγοντες είναι ο βαθμός στον οποίο τα κράτη-μέλη της ΖτΕ θα επωφεληθούν από το βελτιούμενο εξωτερικό περιβάλλον (ιδιαίτερα αυτό των ΗΠΑ), η διατήρηση υποστηρικτικών πολιτικών, το κατά πόσο οι αρνητικές επιπτώσεις της πανδημίας θα έχουν μονιμότερα χαρακτηριστικά στις οικονομίες των κρατών-μελών και ο βαθμός στον οποίο οι συσσωρευμένες καταθέσεις, από την περίοδο των περιοριστικών μέτρων, θα μετατραπούν σε κατανάλωση.</w:t>
      </w:r>
    </w:p>
    <w:p w14:paraId="7DC1226B" w14:textId="77777777" w:rsidR="00776E11" w:rsidRDefault="00776E11" w:rsidP="00776E11">
      <w:pPr>
        <w:pStyle w:val="a4"/>
        <w:kinsoku w:val="0"/>
        <w:overflowPunct w:val="0"/>
        <w:spacing w:before="69"/>
        <w:ind w:right="170"/>
        <w:jc w:val="both"/>
        <w:rPr>
          <w:noProof/>
          <w:lang w:val="el-GR" w:eastAsia="el-GR"/>
        </w:rPr>
      </w:pPr>
      <w:r>
        <w:rPr>
          <w:noProof/>
          <w:lang w:val="el-GR" w:eastAsia="el-GR"/>
        </w:rPr>
        <mc:AlternateContent>
          <mc:Choice Requires="wpg">
            <w:drawing>
              <wp:anchor distT="0" distB="0" distL="114300" distR="114300" simplePos="0" relativeHeight="251678720" behindDoc="0" locked="0" layoutInCell="1" allowOverlap="1" wp14:anchorId="147B2A2A" wp14:editId="540D4408">
                <wp:simplePos x="0" y="0"/>
                <wp:positionH relativeFrom="column">
                  <wp:posOffset>-9525</wp:posOffset>
                </wp:positionH>
                <wp:positionV relativeFrom="paragraph">
                  <wp:posOffset>140970</wp:posOffset>
                </wp:positionV>
                <wp:extent cx="7209155" cy="309499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9155" cy="3094990"/>
                          <a:chOff x="-9787" y="0"/>
                          <a:chExt cx="7407485" cy="3084547"/>
                        </a:xfrm>
                      </wpg:grpSpPr>
                      <wps:wsp>
                        <wps:cNvPr id="194" name="Rectangle 24"/>
                        <wps:cNvSpPr>
                          <a:spLocks noChangeArrowheads="1"/>
                        </wps:cNvSpPr>
                        <wps:spPr bwMode="auto">
                          <a:xfrm>
                            <a:off x="-9787" y="0"/>
                            <a:ext cx="1044278" cy="3084546"/>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4AE60" w14:textId="77777777" w:rsidR="00776E11" w:rsidRPr="00AF63B6" w:rsidRDefault="00776E11" w:rsidP="00776E11">
                              <w:pPr>
                                <w:jc w:val="center"/>
                                <w:rPr>
                                  <w:rFonts w:ascii="Arial" w:hAnsi="Arial" w:cs="Arial"/>
                                  <w:color w:val="E24C37"/>
                                  <w:spacing w:val="-4"/>
                                  <w:sz w:val="18"/>
                                  <w:lang w:val="en-US"/>
                                </w:rPr>
                              </w:pPr>
                              <w:r w:rsidRPr="00AF63B6">
                                <w:rPr>
                                  <w:rFonts w:ascii="Arial" w:hAnsi="Arial" w:cs="Arial"/>
                                  <w:color w:val="E24C37"/>
                                  <w:spacing w:val="-4"/>
                                  <w:sz w:val="18"/>
                                  <w:lang w:val="en-US"/>
                                </w:rPr>
                                <w:br/>
                              </w:r>
                              <w:r w:rsidRPr="000753F7">
                                <w:rPr>
                                  <w:rFonts w:ascii="Arial" w:hAnsi="Arial" w:cs="Arial"/>
                                  <w:color w:val="E24C37"/>
                                  <w:spacing w:val="-4"/>
                                  <w:sz w:val="18"/>
                                </w:rPr>
                                <w:t>ΓΡΑΦΗΜΑ</w:t>
                              </w:r>
                              <w:r w:rsidRPr="00AF63B6">
                                <w:rPr>
                                  <w:rFonts w:ascii="Arial" w:hAnsi="Arial" w:cs="Arial"/>
                                  <w:color w:val="E24C37"/>
                                  <w:spacing w:val="-4"/>
                                  <w:sz w:val="18"/>
                                  <w:lang w:val="en-US"/>
                                </w:rPr>
                                <w:t xml:space="preserve"> </w:t>
                              </w:r>
                              <w:r>
                                <w:rPr>
                                  <w:rFonts w:ascii="Arial" w:hAnsi="Arial" w:cs="Arial"/>
                                  <w:color w:val="E24C37"/>
                                  <w:spacing w:val="-4"/>
                                  <w:sz w:val="18"/>
                                  <w:lang w:val="en-US"/>
                                </w:rPr>
                                <w:t>8</w:t>
                              </w:r>
                            </w:p>
                            <w:p w14:paraId="1CD279AF" w14:textId="77777777" w:rsidR="00776E11" w:rsidRPr="00AF63B6" w:rsidRDefault="00776E11" w:rsidP="00776E11">
                              <w:pPr>
                                <w:jc w:val="center"/>
                                <w:rPr>
                                  <w:rFonts w:ascii="Arial" w:hAnsi="Arial" w:cs="Arial"/>
                                  <w:color w:val="E24C37"/>
                                  <w:spacing w:val="-4"/>
                                  <w:sz w:val="18"/>
                                  <w:lang w:val="en-US"/>
                                </w:rPr>
                              </w:pPr>
                              <w:r w:rsidRPr="00AF63B6">
                                <w:rPr>
                                  <w:rFonts w:ascii="Arial" w:hAnsi="Arial" w:cs="Arial"/>
                                  <w:color w:val="E24C37"/>
                                  <w:spacing w:val="-4"/>
                                  <w:sz w:val="18"/>
                                  <w:lang w:val="en-US"/>
                                </w:rPr>
                                <w:t xml:space="preserve">  </w:t>
                              </w:r>
                            </w:p>
                            <w:p w14:paraId="5192FC20" w14:textId="77777777" w:rsidR="00776E11" w:rsidRPr="00AF63B6" w:rsidRDefault="00776E11" w:rsidP="00776E11">
                              <w:pPr>
                                <w:jc w:val="center"/>
                                <w:rPr>
                                  <w:rFonts w:ascii="Arial" w:hAnsi="Arial" w:cs="Arial"/>
                                  <w:color w:val="E24C37"/>
                                  <w:spacing w:val="-4"/>
                                  <w:sz w:val="18"/>
                                  <w:lang w:val="en-US"/>
                                </w:rPr>
                              </w:pPr>
                            </w:p>
                            <w:p w14:paraId="0EDF3164" w14:textId="77777777" w:rsidR="00776E11" w:rsidRPr="00AF63B6" w:rsidRDefault="00776E11" w:rsidP="00776E11">
                              <w:pPr>
                                <w:jc w:val="center"/>
                                <w:rPr>
                                  <w:rFonts w:ascii="Arial" w:hAnsi="Arial" w:cs="Arial"/>
                                  <w:color w:val="E24C37"/>
                                  <w:spacing w:val="-4"/>
                                  <w:sz w:val="18"/>
                                  <w:lang w:val="en-US"/>
                                </w:rPr>
                              </w:pPr>
                            </w:p>
                            <w:p w14:paraId="23769409" w14:textId="77777777" w:rsidR="00776E11" w:rsidRPr="00AF63B6" w:rsidRDefault="00776E11" w:rsidP="00776E11">
                              <w:pPr>
                                <w:jc w:val="center"/>
                                <w:rPr>
                                  <w:rFonts w:ascii="Arial" w:hAnsi="Arial" w:cs="Arial"/>
                                  <w:color w:val="E24C37"/>
                                  <w:spacing w:val="-4"/>
                                  <w:sz w:val="18"/>
                                  <w:lang w:val="en-US"/>
                                </w:rPr>
                              </w:pPr>
                            </w:p>
                            <w:p w14:paraId="1719D46B" w14:textId="77777777" w:rsidR="00776E11" w:rsidRPr="00AF63B6" w:rsidRDefault="00776E11" w:rsidP="00776E11">
                              <w:pPr>
                                <w:jc w:val="center"/>
                                <w:rPr>
                                  <w:rFonts w:ascii="Arial" w:hAnsi="Arial" w:cs="Arial"/>
                                  <w:color w:val="E24C37"/>
                                  <w:spacing w:val="-4"/>
                                  <w:sz w:val="18"/>
                                  <w:lang w:val="en-US"/>
                                </w:rPr>
                              </w:pPr>
                            </w:p>
                            <w:p w14:paraId="54F6DAB8" w14:textId="77777777" w:rsidR="00776E11" w:rsidRPr="00AF63B6" w:rsidRDefault="00776E11" w:rsidP="00776E11">
                              <w:pPr>
                                <w:spacing w:after="0"/>
                                <w:rPr>
                                  <w:rFonts w:ascii="Arial" w:hAnsi="Arial" w:cs="Arial"/>
                                  <w:color w:val="000000"/>
                                  <w:spacing w:val="-4"/>
                                  <w:sz w:val="18"/>
                                  <w:lang w:val="en-US"/>
                                </w:rPr>
                              </w:pPr>
                            </w:p>
                            <w:p w14:paraId="1D31BA7C" w14:textId="77777777" w:rsidR="00776E11" w:rsidRPr="00AF63B6" w:rsidRDefault="00776E11" w:rsidP="00776E11">
                              <w:pPr>
                                <w:spacing w:after="0"/>
                                <w:rPr>
                                  <w:rFonts w:ascii="Arial" w:hAnsi="Arial" w:cs="Arial"/>
                                  <w:color w:val="000000"/>
                                  <w:spacing w:val="-4"/>
                                  <w:sz w:val="18"/>
                                  <w:lang w:val="en-US"/>
                                </w:rPr>
                              </w:pPr>
                            </w:p>
                            <w:p w14:paraId="17CBE145" w14:textId="77777777" w:rsidR="00776E11" w:rsidRPr="00AF63B6" w:rsidRDefault="00776E11" w:rsidP="00776E11">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AF63B6">
                                <w:rPr>
                                  <w:rFonts w:ascii="Arial" w:hAnsi="Arial" w:cs="Arial"/>
                                  <w:color w:val="000000"/>
                                  <w:spacing w:val="-4"/>
                                  <w:sz w:val="18"/>
                                  <w:lang w:val="en-US"/>
                                </w:rPr>
                                <w:t>:</w:t>
                              </w:r>
                            </w:p>
                            <w:p w14:paraId="038DCCB7" w14:textId="77777777" w:rsidR="00776E11" w:rsidRPr="00AF63B6" w:rsidRDefault="00776E11" w:rsidP="00776E11">
                              <w:pPr>
                                <w:spacing w:after="0"/>
                                <w:jc w:val="center"/>
                                <w:rPr>
                                  <w:rFonts w:ascii="Arial" w:hAnsi="Arial" w:cs="Arial"/>
                                  <w:color w:val="000000"/>
                                  <w:spacing w:val="-4"/>
                                  <w:sz w:val="18"/>
                                  <w:lang w:val="en-US"/>
                                </w:rPr>
                              </w:pPr>
                              <w:r w:rsidRPr="00AF63B6">
                                <w:rPr>
                                  <w:rFonts w:ascii="Arial" w:hAnsi="Arial" w:cs="Arial"/>
                                  <w:color w:val="000000"/>
                                  <w:spacing w:val="-4"/>
                                  <w:sz w:val="18"/>
                                </w:rPr>
                                <w:t>Ευρωπαϊκή</w:t>
                              </w:r>
                              <w:r w:rsidRPr="00AF63B6">
                                <w:rPr>
                                  <w:rFonts w:ascii="Arial" w:hAnsi="Arial" w:cs="Arial"/>
                                  <w:color w:val="000000"/>
                                  <w:spacing w:val="-4"/>
                                  <w:sz w:val="18"/>
                                  <w:lang w:val="en-US"/>
                                </w:rPr>
                                <w:t xml:space="preserve"> </w:t>
                              </w:r>
                              <w:r w:rsidRPr="00AF63B6">
                                <w:rPr>
                                  <w:rFonts w:ascii="Arial" w:hAnsi="Arial" w:cs="Arial"/>
                                  <w:color w:val="000000"/>
                                  <w:spacing w:val="-4"/>
                                  <w:sz w:val="18"/>
                                </w:rPr>
                                <w:t>Επιτροπή</w:t>
                              </w:r>
                              <w:r w:rsidRPr="00AF63B6">
                                <w:rPr>
                                  <w:rFonts w:ascii="Arial" w:hAnsi="Arial" w:cs="Arial"/>
                                  <w:color w:val="000000"/>
                                  <w:spacing w:val="-4"/>
                                  <w:sz w:val="18"/>
                                  <w:lang w:val="en-US"/>
                                </w:rPr>
                                <w:t xml:space="preserve"> (European Economic Forecast, </w:t>
                              </w:r>
                              <w:r>
                                <w:rPr>
                                  <w:rFonts w:ascii="Arial" w:hAnsi="Arial" w:cs="Arial"/>
                                  <w:color w:val="000000"/>
                                  <w:spacing w:val="-4"/>
                                  <w:sz w:val="18"/>
                                  <w:lang w:val="en-US"/>
                                </w:rPr>
                                <w:t>Spring</w:t>
                              </w:r>
                              <w:r w:rsidRPr="00AF63B6">
                                <w:rPr>
                                  <w:rFonts w:ascii="Arial" w:hAnsi="Arial" w:cs="Arial"/>
                                  <w:color w:val="000000"/>
                                  <w:spacing w:val="-4"/>
                                  <w:sz w:val="18"/>
                                  <w:lang w:val="en-US"/>
                                </w:rPr>
                                <w:t xml:space="preserve"> 202</w:t>
                              </w:r>
                              <w:r>
                                <w:rPr>
                                  <w:rFonts w:ascii="Arial" w:hAnsi="Arial" w:cs="Arial"/>
                                  <w:color w:val="000000"/>
                                  <w:spacing w:val="-4"/>
                                  <w:sz w:val="18"/>
                                  <w:lang w:val="en-US"/>
                                </w:rPr>
                                <w:t>1</w:t>
                              </w:r>
                              <w:r w:rsidRPr="00AF63B6">
                                <w:rPr>
                                  <w:rFonts w:ascii="Arial" w:hAnsi="Arial" w:cs="Arial"/>
                                  <w:color w:val="000000"/>
                                  <w:spacing w:val="-4"/>
                                  <w:sz w:val="18"/>
                                  <w:lang w:val="en-US"/>
                                </w:rPr>
                                <w:t>)</w:t>
                              </w:r>
                            </w:p>
                          </w:txbxContent>
                        </wps:txbx>
                        <wps:bodyPr rot="0" vert="horz" wrap="square" lIns="91440" tIns="45720" rIns="91440" bIns="45720" anchor="t" anchorCtr="0" upright="1">
                          <a:noAutofit/>
                        </wps:bodyPr>
                      </wps:wsp>
                      <wps:wsp>
                        <wps:cNvPr id="195" name="Freeform 364"/>
                        <wps:cNvSpPr>
                          <a:spLocks/>
                        </wps:cNvSpPr>
                        <wps:spPr bwMode="auto">
                          <a:xfrm>
                            <a:off x="1172326" y="0"/>
                            <a:ext cx="6225372" cy="3084547"/>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276278" w14:textId="77777777" w:rsidR="00776E11" w:rsidRPr="00903C0E" w:rsidRDefault="00776E11" w:rsidP="00776E11">
                              <w:pPr>
                                <w:tabs>
                                  <w:tab w:val="left" w:pos="2410"/>
                                </w:tabs>
                                <w:spacing w:after="0" w:line="240" w:lineRule="auto"/>
                                <w:rPr>
                                  <w:rFonts w:ascii="Arial" w:eastAsia="Arial" w:hAnsi="Arial" w:cs="Arial"/>
                                  <w:color w:val="0E3B70"/>
                                  <w:sz w:val="20"/>
                                  <w:szCs w:val="20"/>
                                </w:rPr>
                              </w:pPr>
                              <w:r w:rsidRPr="00AF63B6">
                                <w:rPr>
                                  <w:rFonts w:ascii="Arial" w:eastAsia="Arial" w:hAnsi="Arial" w:cs="Arial"/>
                                  <w:color w:val="0E3B70"/>
                                  <w:sz w:val="20"/>
                                  <w:szCs w:val="20"/>
                                </w:rPr>
                                <w:t>Μεταβολή ΑΕΠ 20</w:t>
                              </w:r>
                              <w:r>
                                <w:rPr>
                                  <w:rFonts w:ascii="Arial" w:eastAsia="Arial" w:hAnsi="Arial" w:cs="Arial"/>
                                  <w:color w:val="0E3B70"/>
                                  <w:sz w:val="20"/>
                                  <w:szCs w:val="20"/>
                                </w:rPr>
                                <w:t>20</w:t>
                              </w:r>
                              <w:r w:rsidRPr="00AF63B6">
                                <w:rPr>
                                  <w:rFonts w:ascii="Arial" w:eastAsia="Arial" w:hAnsi="Arial" w:cs="Arial"/>
                                  <w:color w:val="0E3B70"/>
                                  <w:sz w:val="20"/>
                                  <w:szCs w:val="20"/>
                                </w:rPr>
                                <w:t xml:space="preserve"> σε Επιλεγμένα Κράτη-Μέλη της </w:t>
                              </w:r>
                              <w:proofErr w:type="spellStart"/>
                              <w:r w:rsidRPr="00AF63B6">
                                <w:rPr>
                                  <w:rFonts w:ascii="Arial" w:eastAsia="Arial" w:hAnsi="Arial" w:cs="Arial"/>
                                  <w:color w:val="0E3B70"/>
                                  <w:sz w:val="20"/>
                                  <w:szCs w:val="20"/>
                                </w:rPr>
                                <w:t>ΖτΕ</w:t>
                              </w:r>
                              <w:proofErr w:type="spellEnd"/>
                              <w:r w:rsidRPr="00AF63B6">
                                <w:rPr>
                                  <w:rFonts w:ascii="Arial" w:eastAsia="Arial" w:hAnsi="Arial" w:cs="Arial"/>
                                  <w:color w:val="0E3B70"/>
                                  <w:sz w:val="20"/>
                                  <w:szCs w:val="20"/>
                                </w:rPr>
                                <w:t xml:space="preserve"> και Προβλέψεις 202</w:t>
                              </w:r>
                              <w:r>
                                <w:rPr>
                                  <w:rFonts w:ascii="Arial" w:eastAsia="Arial" w:hAnsi="Arial" w:cs="Arial"/>
                                  <w:color w:val="0E3B70"/>
                                  <w:sz w:val="20"/>
                                  <w:szCs w:val="20"/>
                                </w:rPr>
                                <w:t>1</w:t>
                              </w:r>
                              <w:r w:rsidRPr="00AF63B6">
                                <w:rPr>
                                  <w:rFonts w:ascii="Arial" w:eastAsia="Arial" w:hAnsi="Arial" w:cs="Arial"/>
                                  <w:color w:val="0E3B70"/>
                                  <w:sz w:val="20"/>
                                  <w:szCs w:val="20"/>
                                </w:rPr>
                                <w:t>-2</w:t>
                              </w:r>
                              <w:r>
                                <w:rPr>
                                  <w:rFonts w:ascii="Arial" w:eastAsia="Arial" w:hAnsi="Arial" w:cs="Arial"/>
                                  <w:color w:val="0E3B70"/>
                                  <w:sz w:val="20"/>
                                  <w:szCs w:val="20"/>
                                </w:rPr>
                                <w:t>2</w:t>
                              </w:r>
                              <w:r w:rsidRPr="00AF63B6">
                                <w:rPr>
                                  <w:rFonts w:ascii="Arial" w:eastAsia="Arial" w:hAnsi="Arial" w:cs="Arial"/>
                                  <w:color w:val="0E3B70"/>
                                  <w:sz w:val="20"/>
                                  <w:szCs w:val="20"/>
                                </w:rPr>
                                <w:t xml:space="preserve"> (ετήσια % μεταβολή)</w:t>
                              </w:r>
                              <w:r w:rsidRPr="00DC7D3B">
                                <w:rPr>
                                  <w:noProof/>
                                  <w:lang w:eastAsia="el-GR"/>
                                </w:rPr>
                                <w:drawing>
                                  <wp:inline distT="0" distB="0" distL="0" distR="0" wp14:anchorId="36314E28" wp14:editId="1C90259B">
                                    <wp:extent cx="5886450" cy="381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6450" cy="38100"/>
                                            </a:xfrm>
                                            <a:prstGeom prst="rect">
                                              <a:avLst/>
                                            </a:prstGeom>
                                            <a:noFill/>
                                            <a:ln>
                                              <a:noFill/>
                                            </a:ln>
                                          </pic:spPr>
                                        </pic:pic>
                                      </a:graphicData>
                                    </a:graphic>
                                  </wp:inline>
                                </w:drawing>
                              </w:r>
                            </w:p>
                            <w:p w14:paraId="0AF95776" w14:textId="77777777" w:rsidR="00776E11" w:rsidRPr="008C7879" w:rsidRDefault="00776E11" w:rsidP="00776E11">
                              <w:pPr>
                                <w:tabs>
                                  <w:tab w:val="left" w:pos="2410"/>
                                </w:tabs>
                                <w:spacing w:line="240" w:lineRule="auto"/>
                                <w:rPr>
                                  <w:noProof/>
                                </w:rPr>
                              </w:pPr>
                              <w:r w:rsidRPr="002666C5">
                                <w:rPr>
                                  <w:noProof/>
                                  <w:lang w:eastAsia="el-GR"/>
                                </w:rPr>
                                <w:drawing>
                                  <wp:inline distT="0" distB="0" distL="0" distR="0" wp14:anchorId="60FF7350" wp14:editId="42F7B342">
                                    <wp:extent cx="5686425" cy="27051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p w14:paraId="1A9CF062" w14:textId="77777777" w:rsidR="00776E11" w:rsidRPr="008C7879" w:rsidRDefault="00776E11" w:rsidP="00776E11">
                              <w:pPr>
                                <w:tabs>
                                  <w:tab w:val="left" w:pos="2410"/>
                                </w:tabs>
                                <w:spacing w:line="240" w:lineRule="auto"/>
                                <w:rPr>
                                  <w:noProof/>
                                </w:rPr>
                              </w:pPr>
                            </w:p>
                            <w:p w14:paraId="11BEA104" w14:textId="77777777" w:rsidR="00776E11" w:rsidRPr="008C7879" w:rsidRDefault="00776E11" w:rsidP="00776E11">
                              <w:pPr>
                                <w:tabs>
                                  <w:tab w:val="left" w:pos="2410"/>
                                </w:tabs>
                                <w:spacing w:line="240" w:lineRule="auto"/>
                                <w:rPr>
                                  <w:noProof/>
                                </w:rPr>
                              </w:pPr>
                            </w:p>
                            <w:p w14:paraId="5933DFE2" w14:textId="77777777" w:rsidR="00776E11" w:rsidRPr="008C7879" w:rsidRDefault="00776E11" w:rsidP="00776E11">
                              <w:pPr>
                                <w:tabs>
                                  <w:tab w:val="left" w:pos="2410"/>
                                </w:tabs>
                                <w:spacing w:line="240" w:lineRule="auto"/>
                                <w:rPr>
                                  <w:noProof/>
                                </w:rPr>
                              </w:pPr>
                            </w:p>
                            <w:p w14:paraId="3620BB3E" w14:textId="77777777" w:rsidR="00776E11" w:rsidRPr="008C7879" w:rsidRDefault="00776E11" w:rsidP="00776E11">
                              <w:pPr>
                                <w:tabs>
                                  <w:tab w:val="left" w:pos="2410"/>
                                </w:tabs>
                                <w:spacing w:line="240" w:lineRule="auto"/>
                                <w:rPr>
                                  <w:noProof/>
                                </w:rPr>
                              </w:pPr>
                            </w:p>
                            <w:p w14:paraId="20BC00B5" w14:textId="77777777" w:rsidR="00776E11" w:rsidRPr="008C7879" w:rsidRDefault="00776E11" w:rsidP="00776E11">
                              <w:pPr>
                                <w:tabs>
                                  <w:tab w:val="left" w:pos="2410"/>
                                </w:tabs>
                                <w:spacing w:line="240" w:lineRule="auto"/>
                                <w:rPr>
                                  <w:noProof/>
                                </w:rPr>
                              </w:pPr>
                            </w:p>
                            <w:p w14:paraId="6773E8A8" w14:textId="77777777" w:rsidR="00776E11" w:rsidRPr="008C7879" w:rsidRDefault="00776E11" w:rsidP="00776E11">
                              <w:pPr>
                                <w:tabs>
                                  <w:tab w:val="left" w:pos="2410"/>
                                </w:tabs>
                                <w:spacing w:line="240" w:lineRule="auto"/>
                                <w:rPr>
                                  <w:noProof/>
                                </w:rPr>
                              </w:pPr>
                            </w:p>
                            <w:p w14:paraId="64B16B1E" w14:textId="77777777" w:rsidR="00776E11" w:rsidRPr="008C7879" w:rsidRDefault="00776E11" w:rsidP="00776E11">
                              <w:pPr>
                                <w:tabs>
                                  <w:tab w:val="left" w:pos="2410"/>
                                </w:tabs>
                                <w:spacing w:line="240" w:lineRule="auto"/>
                                <w:rPr>
                                  <w:noProof/>
                                </w:rPr>
                              </w:pPr>
                            </w:p>
                            <w:p w14:paraId="056741EE" w14:textId="77777777" w:rsidR="00776E11" w:rsidRDefault="00776E11" w:rsidP="00776E11">
                              <w:pPr>
                                <w:tabs>
                                  <w:tab w:val="left" w:pos="2410"/>
                                </w:tabs>
                                <w:spacing w:line="240" w:lineRule="auto"/>
                                <w:rPr>
                                  <w:noProof/>
                                </w:rPr>
                              </w:pPr>
                            </w:p>
                            <w:p w14:paraId="65590DBE" w14:textId="77777777" w:rsidR="00776E11" w:rsidRPr="008C7879" w:rsidRDefault="00776E11" w:rsidP="00776E11">
                              <w:pPr>
                                <w:tabs>
                                  <w:tab w:val="left" w:pos="2410"/>
                                </w:tabs>
                                <w:spacing w:line="240" w:lineRule="auto"/>
                                <w:rPr>
                                  <w:noProof/>
                                </w:rPr>
                              </w:pPr>
                            </w:p>
                            <w:p w14:paraId="24711A67" w14:textId="77777777" w:rsidR="00776E11" w:rsidRPr="008C7879" w:rsidRDefault="00776E11" w:rsidP="00776E11">
                              <w:pPr>
                                <w:tabs>
                                  <w:tab w:val="left" w:pos="2410"/>
                                </w:tabs>
                                <w:spacing w:line="240" w:lineRule="auto"/>
                                <w:rPr>
                                  <w:noProof/>
                                </w:rPr>
                              </w:pPr>
                            </w:p>
                            <w:p w14:paraId="220E95DF" w14:textId="77777777" w:rsidR="00776E11" w:rsidRPr="008C7879" w:rsidRDefault="00776E11" w:rsidP="00776E11">
                              <w:pPr>
                                <w:tabs>
                                  <w:tab w:val="left" w:pos="2410"/>
                                </w:tabs>
                                <w:spacing w:line="240" w:lineRule="auto"/>
                                <w:rPr>
                                  <w:noProof/>
                                </w:rPr>
                              </w:pPr>
                            </w:p>
                            <w:p w14:paraId="2498452F" w14:textId="77777777" w:rsidR="00776E11" w:rsidRPr="008C7879" w:rsidRDefault="00776E11" w:rsidP="00776E11">
                              <w:pPr>
                                <w:tabs>
                                  <w:tab w:val="left" w:pos="2410"/>
                                </w:tabs>
                                <w:spacing w:line="240" w:lineRule="auto"/>
                                <w:rPr>
                                  <w:noProof/>
                                </w:rPr>
                              </w:pPr>
                            </w:p>
                            <w:p w14:paraId="00A2E642" w14:textId="77777777" w:rsidR="00776E11" w:rsidRPr="008C7879" w:rsidRDefault="00776E11" w:rsidP="00776E11">
                              <w:pPr>
                                <w:tabs>
                                  <w:tab w:val="left" w:pos="2410"/>
                                </w:tabs>
                                <w:spacing w:line="240" w:lineRule="auto"/>
                                <w:rPr>
                                  <w:noProof/>
                                </w:rPr>
                              </w:pPr>
                            </w:p>
                            <w:p w14:paraId="04681EB6" w14:textId="77777777" w:rsidR="00776E11" w:rsidRPr="008C7879" w:rsidRDefault="00776E11" w:rsidP="00776E11">
                              <w:pPr>
                                <w:tabs>
                                  <w:tab w:val="left" w:pos="2410"/>
                                </w:tabs>
                                <w:spacing w:line="240" w:lineRule="auto"/>
                                <w:rPr>
                                  <w:noProof/>
                                </w:rPr>
                              </w:pPr>
                            </w:p>
                            <w:p w14:paraId="296EF074" w14:textId="77777777" w:rsidR="00776E11" w:rsidRPr="008C7879" w:rsidRDefault="00776E11" w:rsidP="00776E11">
                              <w:pPr>
                                <w:tabs>
                                  <w:tab w:val="left" w:pos="2410"/>
                                </w:tabs>
                                <w:spacing w:line="240" w:lineRule="auto"/>
                                <w:rPr>
                                  <w:noProof/>
                                </w:rPr>
                              </w:pPr>
                            </w:p>
                            <w:p w14:paraId="200B6A4B" w14:textId="77777777" w:rsidR="00776E11" w:rsidRPr="008C7879" w:rsidRDefault="00776E11" w:rsidP="00776E11">
                              <w:pPr>
                                <w:tabs>
                                  <w:tab w:val="left" w:pos="2410"/>
                                </w:tabs>
                                <w:spacing w:line="240" w:lineRule="auto"/>
                                <w:rPr>
                                  <w:noProof/>
                                </w:rPr>
                              </w:pPr>
                            </w:p>
                            <w:p w14:paraId="70F972C2" w14:textId="77777777" w:rsidR="00776E11" w:rsidRPr="008C7879" w:rsidRDefault="00776E11" w:rsidP="00776E11">
                              <w:pPr>
                                <w:tabs>
                                  <w:tab w:val="left" w:pos="2410"/>
                                </w:tabs>
                                <w:spacing w:line="240" w:lineRule="auto"/>
                                <w:rPr>
                                  <w:noProof/>
                                </w:rPr>
                              </w:pPr>
                            </w:p>
                            <w:p w14:paraId="2CB464D1" w14:textId="77777777" w:rsidR="00776E11" w:rsidRPr="008C7879" w:rsidRDefault="00776E11" w:rsidP="00776E11">
                              <w:pPr>
                                <w:tabs>
                                  <w:tab w:val="left" w:pos="2410"/>
                                </w:tabs>
                                <w:spacing w:line="240" w:lineRule="auto"/>
                                <w:rPr>
                                  <w:noProof/>
                                </w:rPr>
                              </w:pPr>
                            </w:p>
                            <w:p w14:paraId="1F8C6A30" w14:textId="77777777" w:rsidR="00776E11" w:rsidRPr="008C7879" w:rsidRDefault="00776E11" w:rsidP="00776E11">
                              <w:pPr>
                                <w:tabs>
                                  <w:tab w:val="left" w:pos="2410"/>
                                </w:tabs>
                                <w:spacing w:line="240" w:lineRule="auto"/>
                                <w:rPr>
                                  <w:noProof/>
                                </w:rPr>
                              </w:pPr>
                            </w:p>
                            <w:p w14:paraId="68D2791E" w14:textId="77777777" w:rsidR="00776E11" w:rsidRPr="008C7879" w:rsidRDefault="00776E11" w:rsidP="00776E11">
                              <w:pPr>
                                <w:tabs>
                                  <w:tab w:val="left" w:pos="2410"/>
                                </w:tabs>
                                <w:spacing w:line="240" w:lineRule="auto"/>
                                <w:rPr>
                                  <w:noProof/>
                                </w:rPr>
                              </w:pPr>
                            </w:p>
                            <w:p w14:paraId="6D7D7140" w14:textId="77777777" w:rsidR="00776E11" w:rsidRPr="008C7879" w:rsidRDefault="00776E11" w:rsidP="00776E11">
                              <w:pPr>
                                <w:tabs>
                                  <w:tab w:val="left" w:pos="2410"/>
                                </w:tabs>
                                <w:spacing w:line="240" w:lineRule="auto"/>
                                <w:rPr>
                                  <w:noProof/>
                                </w:rPr>
                              </w:pPr>
                            </w:p>
                            <w:p w14:paraId="006EA009" w14:textId="77777777" w:rsidR="00776E11" w:rsidRPr="008C7879" w:rsidRDefault="00776E11" w:rsidP="00776E11">
                              <w:pPr>
                                <w:tabs>
                                  <w:tab w:val="left" w:pos="2410"/>
                                </w:tabs>
                                <w:spacing w:line="240" w:lineRule="auto"/>
                                <w:rPr>
                                  <w:noProof/>
                                </w:rPr>
                              </w:pPr>
                            </w:p>
                            <w:p w14:paraId="2EFE2F72" w14:textId="77777777" w:rsidR="00776E11" w:rsidRPr="008C7879" w:rsidRDefault="00776E11" w:rsidP="00776E11">
                              <w:pPr>
                                <w:tabs>
                                  <w:tab w:val="left" w:pos="2410"/>
                                </w:tabs>
                                <w:spacing w:line="240" w:lineRule="auto"/>
                                <w:rPr>
                                  <w:noProof/>
                                </w:rPr>
                              </w:pPr>
                            </w:p>
                            <w:p w14:paraId="686EE867" w14:textId="77777777" w:rsidR="00776E11" w:rsidRPr="008C7879" w:rsidRDefault="00776E11" w:rsidP="00776E11">
                              <w:pPr>
                                <w:tabs>
                                  <w:tab w:val="left" w:pos="2410"/>
                                </w:tabs>
                                <w:spacing w:line="240" w:lineRule="auto"/>
                                <w:rPr>
                                  <w:noProof/>
                                </w:rPr>
                              </w:pPr>
                            </w:p>
                            <w:p w14:paraId="01D6A168" w14:textId="77777777" w:rsidR="00776E11" w:rsidRPr="008C7879" w:rsidRDefault="00776E11" w:rsidP="00776E11">
                              <w:pPr>
                                <w:tabs>
                                  <w:tab w:val="left" w:pos="2410"/>
                                </w:tabs>
                                <w:spacing w:line="240" w:lineRule="auto"/>
                                <w:rPr>
                                  <w:noProof/>
                                </w:rPr>
                              </w:pPr>
                            </w:p>
                            <w:p w14:paraId="21FAD6D1" w14:textId="77777777" w:rsidR="00776E11" w:rsidRPr="008C7879" w:rsidRDefault="00776E11" w:rsidP="00776E11">
                              <w:pPr>
                                <w:tabs>
                                  <w:tab w:val="left" w:pos="2410"/>
                                </w:tabs>
                                <w:spacing w:line="240" w:lineRule="auto"/>
                                <w:rPr>
                                  <w:noProof/>
                                </w:rPr>
                              </w:pPr>
                            </w:p>
                            <w:p w14:paraId="2F0FE712" w14:textId="77777777" w:rsidR="00776E11" w:rsidRPr="008C7879" w:rsidRDefault="00776E11" w:rsidP="00776E11">
                              <w:pPr>
                                <w:tabs>
                                  <w:tab w:val="left" w:pos="2410"/>
                                </w:tabs>
                                <w:spacing w:line="240" w:lineRule="auto"/>
                                <w:rPr>
                                  <w:noProof/>
                                </w:rPr>
                              </w:pPr>
                            </w:p>
                            <w:p w14:paraId="10207189" w14:textId="77777777" w:rsidR="00776E11" w:rsidRPr="008C7879" w:rsidRDefault="00776E11" w:rsidP="00776E11">
                              <w:pPr>
                                <w:tabs>
                                  <w:tab w:val="left" w:pos="2410"/>
                                </w:tabs>
                                <w:spacing w:line="240" w:lineRule="auto"/>
                                <w:rPr>
                                  <w:noProof/>
                                </w:rPr>
                              </w:pPr>
                            </w:p>
                            <w:p w14:paraId="47B05FFF" w14:textId="77777777" w:rsidR="00776E11" w:rsidRPr="008C7879" w:rsidRDefault="00776E11" w:rsidP="00776E11">
                              <w:pPr>
                                <w:tabs>
                                  <w:tab w:val="left" w:pos="2410"/>
                                </w:tabs>
                                <w:spacing w:line="240" w:lineRule="auto"/>
                                <w:rPr>
                                  <w:noProof/>
                                </w:rPr>
                              </w:pPr>
                            </w:p>
                            <w:p w14:paraId="545FA190" w14:textId="77777777" w:rsidR="00776E11" w:rsidRPr="008C7879" w:rsidRDefault="00776E11" w:rsidP="00776E11">
                              <w:pPr>
                                <w:tabs>
                                  <w:tab w:val="left" w:pos="2410"/>
                                </w:tabs>
                                <w:spacing w:line="240" w:lineRule="auto"/>
                                <w:rPr>
                                  <w:noProof/>
                                </w:rPr>
                              </w:pPr>
                            </w:p>
                            <w:p w14:paraId="73C5E8AD" w14:textId="77777777" w:rsidR="00776E11" w:rsidRPr="008C7879" w:rsidRDefault="00776E11" w:rsidP="00776E11">
                              <w:pPr>
                                <w:tabs>
                                  <w:tab w:val="left" w:pos="2410"/>
                                </w:tabs>
                                <w:spacing w:line="240" w:lineRule="auto"/>
                                <w:rPr>
                                  <w:noProof/>
                                </w:rPr>
                              </w:pPr>
                            </w:p>
                            <w:p w14:paraId="0A7C2D1C" w14:textId="77777777" w:rsidR="00776E11" w:rsidRPr="008C7879" w:rsidRDefault="00776E11" w:rsidP="00776E11">
                              <w:pPr>
                                <w:tabs>
                                  <w:tab w:val="left" w:pos="2410"/>
                                </w:tabs>
                                <w:spacing w:line="240" w:lineRule="auto"/>
                                <w:rPr>
                                  <w:noProof/>
                                </w:rPr>
                              </w:pPr>
                            </w:p>
                            <w:p w14:paraId="58DB532D" w14:textId="77777777" w:rsidR="00776E11" w:rsidRPr="008C7879" w:rsidRDefault="00776E11" w:rsidP="00776E11">
                              <w:pPr>
                                <w:tabs>
                                  <w:tab w:val="left" w:pos="2410"/>
                                </w:tabs>
                                <w:spacing w:line="240" w:lineRule="auto"/>
                                <w:rPr>
                                  <w:noProof/>
                                </w:rPr>
                              </w:pPr>
                            </w:p>
                            <w:p w14:paraId="7112D48A" w14:textId="77777777" w:rsidR="00776E11" w:rsidRPr="008C7879" w:rsidRDefault="00776E11" w:rsidP="00776E11">
                              <w:pPr>
                                <w:tabs>
                                  <w:tab w:val="left" w:pos="2410"/>
                                </w:tabs>
                                <w:spacing w:line="240" w:lineRule="auto"/>
                                <w:rPr>
                                  <w:noProof/>
                                </w:rPr>
                              </w:pPr>
                            </w:p>
                            <w:p w14:paraId="7A70A140" w14:textId="77777777" w:rsidR="00776E11" w:rsidRPr="008C7879" w:rsidRDefault="00776E11" w:rsidP="00776E11">
                              <w:pPr>
                                <w:tabs>
                                  <w:tab w:val="left" w:pos="2410"/>
                                </w:tabs>
                                <w:spacing w:line="240" w:lineRule="auto"/>
                                <w:rPr>
                                  <w:noProof/>
                                </w:rPr>
                              </w:pPr>
                            </w:p>
                            <w:p w14:paraId="4DE6FC7A" w14:textId="77777777" w:rsidR="00776E11" w:rsidRPr="008C7879" w:rsidRDefault="00776E11" w:rsidP="00776E11">
                              <w:pPr>
                                <w:tabs>
                                  <w:tab w:val="left" w:pos="2410"/>
                                </w:tabs>
                                <w:spacing w:line="240" w:lineRule="auto"/>
                                <w:rPr>
                                  <w:noProof/>
                                </w:rPr>
                              </w:pPr>
                            </w:p>
                            <w:p w14:paraId="3170A146" w14:textId="77777777" w:rsidR="00776E11" w:rsidRPr="008C7879" w:rsidRDefault="00776E11" w:rsidP="00776E11">
                              <w:pPr>
                                <w:tabs>
                                  <w:tab w:val="left" w:pos="2410"/>
                                </w:tabs>
                                <w:spacing w:line="240" w:lineRule="auto"/>
                                <w:rPr>
                                  <w:noProof/>
                                </w:rPr>
                              </w:pPr>
                            </w:p>
                            <w:p w14:paraId="48E7C2CF" w14:textId="77777777" w:rsidR="00776E11" w:rsidRPr="008C7879" w:rsidRDefault="00776E11" w:rsidP="00776E11">
                              <w:pPr>
                                <w:tabs>
                                  <w:tab w:val="left" w:pos="2410"/>
                                </w:tabs>
                                <w:spacing w:line="240" w:lineRule="auto"/>
                                <w:rPr>
                                  <w:noProof/>
                                </w:rPr>
                              </w:pPr>
                            </w:p>
                            <w:p w14:paraId="7E296ADE" w14:textId="77777777" w:rsidR="00776E11" w:rsidRPr="008C7879" w:rsidRDefault="00776E11" w:rsidP="00776E11">
                              <w:pPr>
                                <w:tabs>
                                  <w:tab w:val="left" w:pos="2410"/>
                                </w:tabs>
                                <w:spacing w:line="240" w:lineRule="auto"/>
                                <w:rPr>
                                  <w:noProof/>
                                </w:rPr>
                              </w:pPr>
                            </w:p>
                            <w:p w14:paraId="15F5C787" w14:textId="77777777" w:rsidR="00776E11" w:rsidRPr="008C7879" w:rsidRDefault="00776E11" w:rsidP="00776E11">
                              <w:pPr>
                                <w:tabs>
                                  <w:tab w:val="left" w:pos="2410"/>
                                </w:tabs>
                                <w:spacing w:line="240" w:lineRule="auto"/>
                                <w:rPr>
                                  <w:noProof/>
                                </w:rPr>
                              </w:pPr>
                            </w:p>
                            <w:p w14:paraId="10F449B5" w14:textId="77777777" w:rsidR="00776E11" w:rsidRPr="008C7879" w:rsidRDefault="00776E11" w:rsidP="00776E11">
                              <w:pPr>
                                <w:tabs>
                                  <w:tab w:val="left" w:pos="2410"/>
                                </w:tabs>
                                <w:spacing w:line="240" w:lineRule="auto"/>
                                <w:rPr>
                                  <w:noProof/>
                                </w:rPr>
                              </w:pPr>
                            </w:p>
                            <w:p w14:paraId="06BC590F" w14:textId="77777777" w:rsidR="00776E11" w:rsidRPr="008C7879" w:rsidRDefault="00776E11" w:rsidP="00776E11">
                              <w:pPr>
                                <w:tabs>
                                  <w:tab w:val="left" w:pos="2410"/>
                                </w:tabs>
                                <w:spacing w:line="240" w:lineRule="auto"/>
                                <w:rPr>
                                  <w:noProof/>
                                </w:rPr>
                              </w:pPr>
                            </w:p>
                            <w:p w14:paraId="02B13FB0" w14:textId="77777777" w:rsidR="00776E11" w:rsidRPr="008C7879" w:rsidRDefault="00776E11" w:rsidP="00776E11">
                              <w:pPr>
                                <w:tabs>
                                  <w:tab w:val="left" w:pos="2410"/>
                                </w:tabs>
                                <w:spacing w:line="240" w:lineRule="auto"/>
                                <w:rPr>
                                  <w:noProof/>
                                </w:rPr>
                              </w:pPr>
                            </w:p>
                            <w:p w14:paraId="64E4EEFE" w14:textId="77777777" w:rsidR="00776E11" w:rsidRPr="008C7879" w:rsidRDefault="00776E11" w:rsidP="00776E11">
                              <w:pPr>
                                <w:tabs>
                                  <w:tab w:val="left" w:pos="2410"/>
                                </w:tabs>
                                <w:spacing w:line="240" w:lineRule="auto"/>
                                <w:rPr>
                                  <w:noProof/>
                                </w:rPr>
                              </w:pPr>
                            </w:p>
                            <w:p w14:paraId="3DB17EFC" w14:textId="77777777" w:rsidR="00776E11" w:rsidRPr="008C7879" w:rsidRDefault="00776E11" w:rsidP="00776E11">
                              <w:pPr>
                                <w:tabs>
                                  <w:tab w:val="left" w:pos="2410"/>
                                </w:tabs>
                                <w:spacing w:line="240" w:lineRule="auto"/>
                                <w:rPr>
                                  <w:noProof/>
                                </w:rPr>
                              </w:pPr>
                            </w:p>
                            <w:p w14:paraId="5D616BED" w14:textId="77777777" w:rsidR="00776E11" w:rsidRPr="008C7879" w:rsidRDefault="00776E11" w:rsidP="00776E11">
                              <w:pPr>
                                <w:tabs>
                                  <w:tab w:val="left" w:pos="2410"/>
                                </w:tabs>
                                <w:spacing w:line="240" w:lineRule="auto"/>
                                <w:rPr>
                                  <w:rFonts w:ascii="Arial" w:hAnsi="Arial" w:cs="Arial"/>
                                  <w:sz w:val="20"/>
                                </w:rPr>
                              </w:pPr>
                            </w:p>
                            <w:p w14:paraId="7D764FE4" w14:textId="77777777" w:rsidR="00776E11" w:rsidRPr="008C7879" w:rsidRDefault="00776E11" w:rsidP="00776E11">
                              <w:pPr>
                                <w:tabs>
                                  <w:tab w:val="left" w:pos="2410"/>
                                </w:tabs>
                                <w:spacing w:line="240" w:lineRule="auto"/>
                                <w:rPr>
                                  <w:rFonts w:ascii="Arial" w:hAnsi="Arial" w:cs="Arial"/>
                                  <w:sz w:val="20"/>
                                </w:rPr>
                              </w:pPr>
                            </w:p>
                            <w:p w14:paraId="3EE3D424" w14:textId="77777777" w:rsidR="00776E11" w:rsidRPr="008C7879" w:rsidRDefault="00776E11" w:rsidP="00776E11">
                              <w:pPr>
                                <w:tabs>
                                  <w:tab w:val="left" w:pos="2410"/>
                                </w:tabs>
                                <w:spacing w:line="240" w:lineRule="auto"/>
                                <w:rPr>
                                  <w:rFonts w:ascii="Arial" w:hAnsi="Arial" w:cs="Arial"/>
                                  <w:sz w:val="20"/>
                                </w:rPr>
                              </w:pPr>
                            </w:p>
                            <w:p w14:paraId="454E3BB9" w14:textId="77777777" w:rsidR="00776E11" w:rsidRPr="008C7879" w:rsidRDefault="00776E11" w:rsidP="00776E11">
                              <w:pPr>
                                <w:tabs>
                                  <w:tab w:val="left" w:pos="2410"/>
                                </w:tabs>
                                <w:spacing w:line="240" w:lineRule="auto"/>
                                <w:rPr>
                                  <w:rFonts w:ascii="Arial" w:hAnsi="Arial" w:cs="Arial"/>
                                  <w:sz w:val="20"/>
                                </w:rPr>
                              </w:pPr>
                            </w:p>
                            <w:p w14:paraId="65560F75" w14:textId="77777777" w:rsidR="00776E11" w:rsidRPr="008C7879" w:rsidRDefault="00776E11" w:rsidP="00776E11">
                              <w:pPr>
                                <w:tabs>
                                  <w:tab w:val="left" w:pos="2410"/>
                                </w:tabs>
                                <w:spacing w:line="240" w:lineRule="auto"/>
                                <w:rPr>
                                  <w:rFonts w:ascii="Arial" w:hAnsi="Arial" w:cs="Arial"/>
                                  <w:sz w:val="20"/>
                                </w:rPr>
                              </w:pPr>
                            </w:p>
                            <w:p w14:paraId="319BE0E2" w14:textId="77777777" w:rsidR="00776E11" w:rsidRPr="008C7879" w:rsidRDefault="00776E11" w:rsidP="00776E11">
                              <w:pPr>
                                <w:tabs>
                                  <w:tab w:val="left" w:pos="2410"/>
                                </w:tabs>
                                <w:spacing w:line="240" w:lineRule="auto"/>
                                <w:rPr>
                                  <w:rFonts w:ascii="Arial" w:hAnsi="Arial" w:cs="Arial"/>
                                  <w:sz w:val="20"/>
                                </w:rPr>
                              </w:pPr>
                            </w:p>
                            <w:p w14:paraId="440F0EB9" w14:textId="77777777" w:rsidR="00776E11" w:rsidRPr="008C7879" w:rsidRDefault="00776E11" w:rsidP="00776E11">
                              <w:pPr>
                                <w:tabs>
                                  <w:tab w:val="left" w:pos="2410"/>
                                </w:tabs>
                                <w:spacing w:line="240" w:lineRule="auto"/>
                                <w:rPr>
                                  <w:rFonts w:ascii="Arial" w:hAnsi="Arial" w:cs="Arial"/>
                                  <w:sz w:val="20"/>
                                </w:rPr>
                              </w:pPr>
                            </w:p>
                            <w:p w14:paraId="10B4BA22" w14:textId="77777777" w:rsidR="00776E11" w:rsidRPr="008C7879" w:rsidRDefault="00776E11" w:rsidP="00776E11">
                              <w:pPr>
                                <w:tabs>
                                  <w:tab w:val="left" w:pos="2410"/>
                                </w:tabs>
                                <w:spacing w:line="240" w:lineRule="auto"/>
                                <w:rPr>
                                  <w:rFonts w:ascii="Arial" w:hAnsi="Arial" w:cs="Arial"/>
                                  <w:sz w:val="20"/>
                                </w:rPr>
                              </w:pPr>
                            </w:p>
                            <w:p w14:paraId="0055658D" w14:textId="77777777" w:rsidR="00776E11" w:rsidRPr="008C7879" w:rsidRDefault="00776E11" w:rsidP="00776E11">
                              <w:pPr>
                                <w:tabs>
                                  <w:tab w:val="left" w:pos="2410"/>
                                </w:tabs>
                                <w:spacing w:line="240" w:lineRule="auto"/>
                                <w:rPr>
                                  <w:rFonts w:ascii="Arial" w:hAnsi="Arial" w:cs="Arial"/>
                                  <w:sz w:val="20"/>
                                </w:rPr>
                              </w:pPr>
                            </w:p>
                            <w:p w14:paraId="6725725D" w14:textId="77777777" w:rsidR="00776E11" w:rsidRPr="008C7879" w:rsidRDefault="00776E11" w:rsidP="00776E11">
                              <w:pPr>
                                <w:tabs>
                                  <w:tab w:val="left" w:pos="2410"/>
                                </w:tabs>
                                <w:spacing w:line="240" w:lineRule="auto"/>
                                <w:rPr>
                                  <w:rFonts w:ascii="Arial" w:hAnsi="Arial" w:cs="Arial"/>
                                  <w:sz w:val="20"/>
                                </w:rPr>
                              </w:pPr>
                            </w:p>
                            <w:p w14:paraId="22A15712" w14:textId="77777777" w:rsidR="00776E11" w:rsidRPr="008C7879" w:rsidRDefault="00776E11" w:rsidP="00776E11">
                              <w:pPr>
                                <w:tabs>
                                  <w:tab w:val="left" w:pos="2410"/>
                                </w:tabs>
                                <w:spacing w:line="240" w:lineRule="auto"/>
                                <w:rPr>
                                  <w:rFonts w:ascii="Arial" w:hAnsi="Arial" w:cs="Arial"/>
                                  <w:sz w:val="20"/>
                                </w:rPr>
                              </w:pPr>
                            </w:p>
                            <w:p w14:paraId="22960404" w14:textId="77777777" w:rsidR="00776E11" w:rsidRPr="008C7879" w:rsidRDefault="00776E11" w:rsidP="00776E11">
                              <w:pPr>
                                <w:tabs>
                                  <w:tab w:val="left" w:pos="2410"/>
                                </w:tabs>
                                <w:spacing w:line="240" w:lineRule="auto"/>
                                <w:rPr>
                                  <w:rFonts w:ascii="Arial" w:hAnsi="Arial" w:cs="Arial"/>
                                  <w:sz w:val="20"/>
                                </w:rPr>
                              </w:pPr>
                            </w:p>
                            <w:p w14:paraId="7024C2F3" w14:textId="77777777" w:rsidR="00776E11" w:rsidRPr="008C7879" w:rsidRDefault="00776E11" w:rsidP="00776E11">
                              <w:pPr>
                                <w:tabs>
                                  <w:tab w:val="left" w:pos="2410"/>
                                </w:tabs>
                                <w:spacing w:line="240" w:lineRule="auto"/>
                                <w:rPr>
                                  <w:rFonts w:ascii="Arial" w:hAnsi="Arial" w:cs="Arial"/>
                                  <w:sz w:val="20"/>
                                </w:rPr>
                              </w:pPr>
                            </w:p>
                            <w:p w14:paraId="4D57D8A4" w14:textId="77777777" w:rsidR="00776E11" w:rsidRPr="008C7879" w:rsidRDefault="00776E11" w:rsidP="00776E11">
                              <w:pPr>
                                <w:tabs>
                                  <w:tab w:val="left" w:pos="2410"/>
                                </w:tabs>
                                <w:spacing w:line="240" w:lineRule="auto"/>
                                <w:rPr>
                                  <w:rFonts w:ascii="Arial" w:hAnsi="Arial" w:cs="Arial"/>
                                  <w:sz w:val="20"/>
                                </w:rPr>
                              </w:pPr>
                            </w:p>
                            <w:p w14:paraId="3E1EE8DD" w14:textId="77777777" w:rsidR="00776E11" w:rsidRPr="008C7879" w:rsidRDefault="00776E11" w:rsidP="00776E11">
                              <w:pPr>
                                <w:tabs>
                                  <w:tab w:val="left" w:pos="2410"/>
                                </w:tabs>
                                <w:spacing w:line="240" w:lineRule="auto"/>
                                <w:rPr>
                                  <w:rFonts w:ascii="Arial" w:hAnsi="Arial" w:cs="Arial"/>
                                  <w:sz w:val="20"/>
                                </w:rPr>
                              </w:pPr>
                            </w:p>
                            <w:p w14:paraId="42D84598" w14:textId="77777777" w:rsidR="00776E11" w:rsidRPr="008C7879" w:rsidRDefault="00776E11" w:rsidP="00776E11">
                              <w:pPr>
                                <w:tabs>
                                  <w:tab w:val="left" w:pos="2410"/>
                                </w:tabs>
                                <w:spacing w:line="240" w:lineRule="auto"/>
                                <w:rPr>
                                  <w:rFonts w:ascii="Arial" w:hAnsi="Arial" w:cs="Arial"/>
                                  <w:sz w:val="20"/>
                                </w:rPr>
                              </w:pPr>
                            </w:p>
                            <w:p w14:paraId="7DF2B3DA" w14:textId="77777777" w:rsidR="00776E11" w:rsidRPr="008C7879" w:rsidRDefault="00776E11" w:rsidP="00776E11">
                              <w:pPr>
                                <w:tabs>
                                  <w:tab w:val="left" w:pos="2410"/>
                                </w:tabs>
                                <w:spacing w:line="240" w:lineRule="auto"/>
                                <w:rPr>
                                  <w:rFonts w:ascii="Arial" w:hAnsi="Arial" w:cs="Arial"/>
                                  <w:sz w:val="20"/>
                                </w:rPr>
                              </w:pPr>
                            </w:p>
                            <w:p w14:paraId="62EAB804" w14:textId="77777777" w:rsidR="00776E11" w:rsidRPr="008C7879" w:rsidRDefault="00776E11" w:rsidP="00776E11">
                              <w:pPr>
                                <w:tabs>
                                  <w:tab w:val="left" w:pos="2410"/>
                                </w:tabs>
                                <w:spacing w:line="240" w:lineRule="auto"/>
                                <w:rPr>
                                  <w:rFonts w:ascii="Arial" w:hAnsi="Arial" w:cs="Arial"/>
                                  <w:sz w:val="20"/>
                                </w:rPr>
                              </w:pPr>
                            </w:p>
                            <w:p w14:paraId="61A25B2D" w14:textId="77777777" w:rsidR="00776E11" w:rsidRPr="008C7879" w:rsidRDefault="00776E11" w:rsidP="00776E11">
                              <w:pPr>
                                <w:tabs>
                                  <w:tab w:val="left" w:pos="2410"/>
                                </w:tabs>
                                <w:spacing w:line="240" w:lineRule="auto"/>
                                <w:rPr>
                                  <w:rFonts w:ascii="Arial" w:hAnsi="Arial" w:cs="Arial"/>
                                  <w:sz w:val="20"/>
                                </w:rPr>
                              </w:pPr>
                            </w:p>
                            <w:p w14:paraId="2C90B281" w14:textId="77777777" w:rsidR="00776E11" w:rsidRPr="008C7879" w:rsidRDefault="00776E11" w:rsidP="00776E11">
                              <w:pPr>
                                <w:tabs>
                                  <w:tab w:val="left" w:pos="2410"/>
                                </w:tabs>
                                <w:spacing w:line="240" w:lineRule="auto"/>
                                <w:rPr>
                                  <w:rFonts w:ascii="Arial" w:hAnsi="Arial" w:cs="Arial"/>
                                  <w:sz w:val="20"/>
                                </w:rPr>
                              </w:pPr>
                            </w:p>
                            <w:p w14:paraId="461CBA95" w14:textId="77777777" w:rsidR="00776E11" w:rsidRPr="008C7879" w:rsidRDefault="00776E11" w:rsidP="00776E11">
                              <w:pPr>
                                <w:tabs>
                                  <w:tab w:val="left" w:pos="2410"/>
                                </w:tabs>
                                <w:spacing w:line="240" w:lineRule="auto"/>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B2A2A" id="Group 193" o:spid="_x0000_s1047" style="position:absolute;left:0;text-align:left;margin-left:-.75pt;margin-top:11.1pt;width:567.65pt;height:243.7pt;z-index:251678720" coordorigin="-97" coordsize="74074,3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">
                <v:rect id="Rectangle 24" o:spid="_x0000_s1048" style="position:absolute;left:-97;width:10441;height:3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" fillcolor="#e5e4de" stroked="f">
                  <v:textbox>
                    <w:txbxContent>
                      <w:p w14:paraId="43F4AE60" w14:textId="77777777" w:rsidR="00776E11" w:rsidRPr="00AF63B6" w:rsidRDefault="00776E11" w:rsidP="00776E11">
                        <w:pPr>
                          <w:jc w:val="center"/>
                          <w:rPr>
                            <w:rFonts w:ascii="Arial" w:hAnsi="Arial" w:cs="Arial"/>
                            <w:color w:val="E24C37"/>
                            <w:spacing w:val="-4"/>
                            <w:sz w:val="18"/>
                            <w:lang w:val="en-US"/>
                          </w:rPr>
                        </w:pPr>
                        <w:r w:rsidRPr="00AF63B6">
                          <w:rPr>
                            <w:rFonts w:ascii="Arial" w:hAnsi="Arial" w:cs="Arial"/>
                            <w:color w:val="E24C37"/>
                            <w:spacing w:val="-4"/>
                            <w:sz w:val="18"/>
                            <w:lang w:val="en-US"/>
                          </w:rPr>
                          <w:br/>
                        </w:r>
                        <w:r w:rsidRPr="000753F7">
                          <w:rPr>
                            <w:rFonts w:ascii="Arial" w:hAnsi="Arial" w:cs="Arial"/>
                            <w:color w:val="E24C37"/>
                            <w:spacing w:val="-4"/>
                            <w:sz w:val="18"/>
                          </w:rPr>
                          <w:t>ΓΡΑΦΗΜΑ</w:t>
                        </w:r>
                        <w:r w:rsidRPr="00AF63B6">
                          <w:rPr>
                            <w:rFonts w:ascii="Arial" w:hAnsi="Arial" w:cs="Arial"/>
                            <w:color w:val="E24C37"/>
                            <w:spacing w:val="-4"/>
                            <w:sz w:val="18"/>
                            <w:lang w:val="en-US"/>
                          </w:rPr>
                          <w:t xml:space="preserve"> </w:t>
                        </w:r>
                        <w:r>
                          <w:rPr>
                            <w:rFonts w:ascii="Arial" w:hAnsi="Arial" w:cs="Arial"/>
                            <w:color w:val="E24C37"/>
                            <w:spacing w:val="-4"/>
                            <w:sz w:val="18"/>
                            <w:lang w:val="en-US"/>
                          </w:rPr>
                          <w:t>8</w:t>
                        </w:r>
                      </w:p>
                      <w:p w14:paraId="1CD279AF" w14:textId="77777777" w:rsidR="00776E11" w:rsidRPr="00AF63B6" w:rsidRDefault="00776E11" w:rsidP="00776E11">
                        <w:pPr>
                          <w:jc w:val="center"/>
                          <w:rPr>
                            <w:rFonts w:ascii="Arial" w:hAnsi="Arial" w:cs="Arial"/>
                            <w:color w:val="E24C37"/>
                            <w:spacing w:val="-4"/>
                            <w:sz w:val="18"/>
                            <w:lang w:val="en-US"/>
                          </w:rPr>
                        </w:pPr>
                        <w:r w:rsidRPr="00AF63B6">
                          <w:rPr>
                            <w:rFonts w:ascii="Arial" w:hAnsi="Arial" w:cs="Arial"/>
                            <w:color w:val="E24C37"/>
                            <w:spacing w:val="-4"/>
                            <w:sz w:val="18"/>
                            <w:lang w:val="en-US"/>
                          </w:rPr>
                          <w:t xml:space="preserve">  </w:t>
                        </w:r>
                      </w:p>
                      <w:p w14:paraId="5192FC20" w14:textId="77777777" w:rsidR="00776E11" w:rsidRPr="00AF63B6" w:rsidRDefault="00776E11" w:rsidP="00776E11">
                        <w:pPr>
                          <w:jc w:val="center"/>
                          <w:rPr>
                            <w:rFonts w:ascii="Arial" w:hAnsi="Arial" w:cs="Arial"/>
                            <w:color w:val="E24C37"/>
                            <w:spacing w:val="-4"/>
                            <w:sz w:val="18"/>
                            <w:lang w:val="en-US"/>
                          </w:rPr>
                        </w:pPr>
                      </w:p>
                      <w:p w14:paraId="0EDF3164" w14:textId="77777777" w:rsidR="00776E11" w:rsidRPr="00AF63B6" w:rsidRDefault="00776E11" w:rsidP="00776E11">
                        <w:pPr>
                          <w:jc w:val="center"/>
                          <w:rPr>
                            <w:rFonts w:ascii="Arial" w:hAnsi="Arial" w:cs="Arial"/>
                            <w:color w:val="E24C37"/>
                            <w:spacing w:val="-4"/>
                            <w:sz w:val="18"/>
                            <w:lang w:val="en-US"/>
                          </w:rPr>
                        </w:pPr>
                      </w:p>
                      <w:p w14:paraId="23769409" w14:textId="77777777" w:rsidR="00776E11" w:rsidRPr="00AF63B6" w:rsidRDefault="00776E11" w:rsidP="00776E11">
                        <w:pPr>
                          <w:jc w:val="center"/>
                          <w:rPr>
                            <w:rFonts w:ascii="Arial" w:hAnsi="Arial" w:cs="Arial"/>
                            <w:color w:val="E24C37"/>
                            <w:spacing w:val="-4"/>
                            <w:sz w:val="18"/>
                            <w:lang w:val="en-US"/>
                          </w:rPr>
                        </w:pPr>
                      </w:p>
                      <w:p w14:paraId="1719D46B" w14:textId="77777777" w:rsidR="00776E11" w:rsidRPr="00AF63B6" w:rsidRDefault="00776E11" w:rsidP="00776E11">
                        <w:pPr>
                          <w:jc w:val="center"/>
                          <w:rPr>
                            <w:rFonts w:ascii="Arial" w:hAnsi="Arial" w:cs="Arial"/>
                            <w:color w:val="E24C37"/>
                            <w:spacing w:val="-4"/>
                            <w:sz w:val="18"/>
                            <w:lang w:val="en-US"/>
                          </w:rPr>
                        </w:pPr>
                      </w:p>
                      <w:p w14:paraId="54F6DAB8" w14:textId="77777777" w:rsidR="00776E11" w:rsidRPr="00AF63B6" w:rsidRDefault="00776E11" w:rsidP="00776E11">
                        <w:pPr>
                          <w:spacing w:after="0"/>
                          <w:rPr>
                            <w:rFonts w:ascii="Arial" w:hAnsi="Arial" w:cs="Arial"/>
                            <w:color w:val="000000"/>
                            <w:spacing w:val="-4"/>
                            <w:sz w:val="18"/>
                            <w:lang w:val="en-US"/>
                          </w:rPr>
                        </w:pPr>
                      </w:p>
                      <w:p w14:paraId="1D31BA7C" w14:textId="77777777" w:rsidR="00776E11" w:rsidRPr="00AF63B6" w:rsidRDefault="00776E11" w:rsidP="00776E11">
                        <w:pPr>
                          <w:spacing w:after="0"/>
                          <w:rPr>
                            <w:rFonts w:ascii="Arial" w:hAnsi="Arial" w:cs="Arial"/>
                            <w:color w:val="000000"/>
                            <w:spacing w:val="-4"/>
                            <w:sz w:val="18"/>
                            <w:lang w:val="en-US"/>
                          </w:rPr>
                        </w:pPr>
                      </w:p>
                      <w:p w14:paraId="17CBE145" w14:textId="77777777" w:rsidR="00776E11" w:rsidRPr="00AF63B6" w:rsidRDefault="00776E11" w:rsidP="00776E11">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AF63B6">
                          <w:rPr>
                            <w:rFonts w:ascii="Arial" w:hAnsi="Arial" w:cs="Arial"/>
                            <w:color w:val="000000"/>
                            <w:spacing w:val="-4"/>
                            <w:sz w:val="18"/>
                            <w:lang w:val="en-US"/>
                          </w:rPr>
                          <w:t>:</w:t>
                        </w:r>
                      </w:p>
                      <w:p w14:paraId="038DCCB7" w14:textId="77777777" w:rsidR="00776E11" w:rsidRPr="00AF63B6" w:rsidRDefault="00776E11" w:rsidP="00776E11">
                        <w:pPr>
                          <w:spacing w:after="0"/>
                          <w:jc w:val="center"/>
                          <w:rPr>
                            <w:rFonts w:ascii="Arial" w:hAnsi="Arial" w:cs="Arial"/>
                            <w:color w:val="000000"/>
                            <w:spacing w:val="-4"/>
                            <w:sz w:val="18"/>
                            <w:lang w:val="en-US"/>
                          </w:rPr>
                        </w:pPr>
                        <w:r w:rsidRPr="00AF63B6">
                          <w:rPr>
                            <w:rFonts w:ascii="Arial" w:hAnsi="Arial" w:cs="Arial"/>
                            <w:color w:val="000000"/>
                            <w:spacing w:val="-4"/>
                            <w:sz w:val="18"/>
                          </w:rPr>
                          <w:t>Ευρωπαϊκή</w:t>
                        </w:r>
                        <w:r w:rsidRPr="00AF63B6">
                          <w:rPr>
                            <w:rFonts w:ascii="Arial" w:hAnsi="Arial" w:cs="Arial"/>
                            <w:color w:val="000000"/>
                            <w:spacing w:val="-4"/>
                            <w:sz w:val="18"/>
                            <w:lang w:val="en-US"/>
                          </w:rPr>
                          <w:t xml:space="preserve"> </w:t>
                        </w:r>
                        <w:r w:rsidRPr="00AF63B6">
                          <w:rPr>
                            <w:rFonts w:ascii="Arial" w:hAnsi="Arial" w:cs="Arial"/>
                            <w:color w:val="000000"/>
                            <w:spacing w:val="-4"/>
                            <w:sz w:val="18"/>
                          </w:rPr>
                          <w:t>Επιτροπή</w:t>
                        </w:r>
                        <w:r w:rsidRPr="00AF63B6">
                          <w:rPr>
                            <w:rFonts w:ascii="Arial" w:hAnsi="Arial" w:cs="Arial"/>
                            <w:color w:val="000000"/>
                            <w:spacing w:val="-4"/>
                            <w:sz w:val="18"/>
                            <w:lang w:val="en-US"/>
                          </w:rPr>
                          <w:t xml:space="preserve"> (European Economic Forecast, </w:t>
                        </w:r>
                        <w:r>
                          <w:rPr>
                            <w:rFonts w:ascii="Arial" w:hAnsi="Arial" w:cs="Arial"/>
                            <w:color w:val="000000"/>
                            <w:spacing w:val="-4"/>
                            <w:sz w:val="18"/>
                            <w:lang w:val="en-US"/>
                          </w:rPr>
                          <w:t>Spring</w:t>
                        </w:r>
                        <w:r w:rsidRPr="00AF63B6">
                          <w:rPr>
                            <w:rFonts w:ascii="Arial" w:hAnsi="Arial" w:cs="Arial"/>
                            <w:color w:val="000000"/>
                            <w:spacing w:val="-4"/>
                            <w:sz w:val="18"/>
                            <w:lang w:val="en-US"/>
                          </w:rPr>
                          <w:t xml:space="preserve"> 202</w:t>
                        </w:r>
                        <w:r>
                          <w:rPr>
                            <w:rFonts w:ascii="Arial" w:hAnsi="Arial" w:cs="Arial"/>
                            <w:color w:val="000000"/>
                            <w:spacing w:val="-4"/>
                            <w:sz w:val="18"/>
                            <w:lang w:val="en-US"/>
                          </w:rPr>
                          <w:t>1</w:t>
                        </w:r>
                        <w:r w:rsidRPr="00AF63B6">
                          <w:rPr>
                            <w:rFonts w:ascii="Arial" w:hAnsi="Arial" w:cs="Arial"/>
                            <w:color w:val="000000"/>
                            <w:spacing w:val="-4"/>
                            <w:sz w:val="18"/>
                            <w:lang w:val="en-US"/>
                          </w:rPr>
                          <w:t>)</w:t>
                        </w:r>
                      </w:p>
                    </w:txbxContent>
                  </v:textbox>
                </v:rect>
                <v:shape id="Freeform 364" o:spid="_x0000_s1049" style="position:absolute;left:11723;width:62253;height:30845;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" adj="-11796480,,5400" path="m9585,l,,,4123r9585,l9585,xe" fillcolor="#e5e4de" stroked="f">
                  <v:stroke joinstyle="round"/>
                  <v:formulas/>
                  <v:path arrowok="t" o:connecttype="custom" o:connectlocs="2147483646,0;0,0;0,1965810076;2147483646,1965810076;2147483646,0" o:connectangles="0,0,0,0,0" textboxrect="0,0,9586,4124"/>
                  <v:textbox>
                    <w:txbxContent>
                      <w:p w14:paraId="1D276278" w14:textId="77777777" w:rsidR="00776E11" w:rsidRPr="00903C0E" w:rsidRDefault="00776E11" w:rsidP="00776E11">
                        <w:pPr>
                          <w:tabs>
                            <w:tab w:val="left" w:pos="2410"/>
                          </w:tabs>
                          <w:spacing w:after="0" w:line="240" w:lineRule="auto"/>
                          <w:rPr>
                            <w:rFonts w:ascii="Arial" w:eastAsia="Arial" w:hAnsi="Arial" w:cs="Arial"/>
                            <w:color w:val="0E3B70"/>
                            <w:sz w:val="20"/>
                            <w:szCs w:val="20"/>
                          </w:rPr>
                        </w:pPr>
                        <w:r w:rsidRPr="00AF63B6">
                          <w:rPr>
                            <w:rFonts w:ascii="Arial" w:eastAsia="Arial" w:hAnsi="Arial" w:cs="Arial"/>
                            <w:color w:val="0E3B70"/>
                            <w:sz w:val="20"/>
                            <w:szCs w:val="20"/>
                          </w:rPr>
                          <w:t>Μεταβολή ΑΕΠ 20</w:t>
                        </w:r>
                        <w:r>
                          <w:rPr>
                            <w:rFonts w:ascii="Arial" w:eastAsia="Arial" w:hAnsi="Arial" w:cs="Arial"/>
                            <w:color w:val="0E3B70"/>
                            <w:sz w:val="20"/>
                            <w:szCs w:val="20"/>
                          </w:rPr>
                          <w:t>20</w:t>
                        </w:r>
                        <w:r w:rsidRPr="00AF63B6">
                          <w:rPr>
                            <w:rFonts w:ascii="Arial" w:eastAsia="Arial" w:hAnsi="Arial" w:cs="Arial"/>
                            <w:color w:val="0E3B70"/>
                            <w:sz w:val="20"/>
                            <w:szCs w:val="20"/>
                          </w:rPr>
                          <w:t xml:space="preserve"> σε Επιλεγμένα Κράτη-Μέλη της ΖτΕ και Προβλέψεις 202</w:t>
                        </w:r>
                        <w:r>
                          <w:rPr>
                            <w:rFonts w:ascii="Arial" w:eastAsia="Arial" w:hAnsi="Arial" w:cs="Arial"/>
                            <w:color w:val="0E3B70"/>
                            <w:sz w:val="20"/>
                            <w:szCs w:val="20"/>
                          </w:rPr>
                          <w:t>1</w:t>
                        </w:r>
                        <w:r w:rsidRPr="00AF63B6">
                          <w:rPr>
                            <w:rFonts w:ascii="Arial" w:eastAsia="Arial" w:hAnsi="Arial" w:cs="Arial"/>
                            <w:color w:val="0E3B70"/>
                            <w:sz w:val="20"/>
                            <w:szCs w:val="20"/>
                          </w:rPr>
                          <w:t>-2</w:t>
                        </w:r>
                        <w:r>
                          <w:rPr>
                            <w:rFonts w:ascii="Arial" w:eastAsia="Arial" w:hAnsi="Arial" w:cs="Arial"/>
                            <w:color w:val="0E3B70"/>
                            <w:sz w:val="20"/>
                            <w:szCs w:val="20"/>
                          </w:rPr>
                          <w:t>2</w:t>
                        </w:r>
                        <w:r w:rsidRPr="00AF63B6">
                          <w:rPr>
                            <w:rFonts w:ascii="Arial" w:eastAsia="Arial" w:hAnsi="Arial" w:cs="Arial"/>
                            <w:color w:val="0E3B70"/>
                            <w:sz w:val="20"/>
                            <w:szCs w:val="20"/>
                          </w:rPr>
                          <w:t xml:space="preserve"> (ετήσια % μεταβολή)</w:t>
                        </w:r>
                        <w:r w:rsidRPr="00DC7D3B">
                          <w:rPr>
                            <w:noProof/>
                            <w:lang w:eastAsia="el-GR"/>
                          </w:rPr>
                          <w:drawing>
                            <wp:inline distT="0" distB="0" distL="0" distR="0" wp14:anchorId="36314E28" wp14:editId="1C90259B">
                              <wp:extent cx="5886450" cy="381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6450" cy="38100"/>
                                      </a:xfrm>
                                      <a:prstGeom prst="rect">
                                        <a:avLst/>
                                      </a:prstGeom>
                                      <a:noFill/>
                                      <a:ln>
                                        <a:noFill/>
                                      </a:ln>
                                    </pic:spPr>
                                  </pic:pic>
                                </a:graphicData>
                              </a:graphic>
                            </wp:inline>
                          </w:drawing>
                        </w:r>
                      </w:p>
                      <w:p w14:paraId="0AF95776" w14:textId="77777777" w:rsidR="00776E11" w:rsidRPr="008C7879" w:rsidRDefault="00776E11" w:rsidP="00776E11">
                        <w:pPr>
                          <w:tabs>
                            <w:tab w:val="left" w:pos="2410"/>
                          </w:tabs>
                          <w:spacing w:line="240" w:lineRule="auto"/>
                          <w:rPr>
                            <w:noProof/>
                          </w:rPr>
                        </w:pPr>
                        <w:r w:rsidRPr="002666C5">
                          <w:rPr>
                            <w:noProof/>
                            <w:lang w:eastAsia="el-GR"/>
                          </w:rPr>
                          <w:drawing>
                            <wp:inline distT="0" distB="0" distL="0" distR="0" wp14:anchorId="60FF7350" wp14:editId="42F7B342">
                              <wp:extent cx="5686425" cy="27051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p w14:paraId="1A9CF062" w14:textId="77777777" w:rsidR="00776E11" w:rsidRPr="008C7879" w:rsidRDefault="00776E11" w:rsidP="00776E11">
                        <w:pPr>
                          <w:tabs>
                            <w:tab w:val="left" w:pos="2410"/>
                          </w:tabs>
                          <w:spacing w:line="240" w:lineRule="auto"/>
                          <w:rPr>
                            <w:noProof/>
                          </w:rPr>
                        </w:pPr>
                      </w:p>
                      <w:p w14:paraId="11BEA104" w14:textId="77777777" w:rsidR="00776E11" w:rsidRPr="008C7879" w:rsidRDefault="00776E11" w:rsidP="00776E11">
                        <w:pPr>
                          <w:tabs>
                            <w:tab w:val="left" w:pos="2410"/>
                          </w:tabs>
                          <w:spacing w:line="240" w:lineRule="auto"/>
                          <w:rPr>
                            <w:noProof/>
                          </w:rPr>
                        </w:pPr>
                      </w:p>
                      <w:p w14:paraId="5933DFE2" w14:textId="77777777" w:rsidR="00776E11" w:rsidRPr="008C7879" w:rsidRDefault="00776E11" w:rsidP="00776E11">
                        <w:pPr>
                          <w:tabs>
                            <w:tab w:val="left" w:pos="2410"/>
                          </w:tabs>
                          <w:spacing w:line="240" w:lineRule="auto"/>
                          <w:rPr>
                            <w:noProof/>
                          </w:rPr>
                        </w:pPr>
                      </w:p>
                      <w:p w14:paraId="3620BB3E" w14:textId="77777777" w:rsidR="00776E11" w:rsidRPr="008C7879" w:rsidRDefault="00776E11" w:rsidP="00776E11">
                        <w:pPr>
                          <w:tabs>
                            <w:tab w:val="left" w:pos="2410"/>
                          </w:tabs>
                          <w:spacing w:line="240" w:lineRule="auto"/>
                          <w:rPr>
                            <w:noProof/>
                          </w:rPr>
                        </w:pPr>
                      </w:p>
                      <w:p w14:paraId="20BC00B5" w14:textId="77777777" w:rsidR="00776E11" w:rsidRPr="008C7879" w:rsidRDefault="00776E11" w:rsidP="00776E11">
                        <w:pPr>
                          <w:tabs>
                            <w:tab w:val="left" w:pos="2410"/>
                          </w:tabs>
                          <w:spacing w:line="240" w:lineRule="auto"/>
                          <w:rPr>
                            <w:noProof/>
                          </w:rPr>
                        </w:pPr>
                      </w:p>
                      <w:p w14:paraId="6773E8A8" w14:textId="77777777" w:rsidR="00776E11" w:rsidRPr="008C7879" w:rsidRDefault="00776E11" w:rsidP="00776E11">
                        <w:pPr>
                          <w:tabs>
                            <w:tab w:val="left" w:pos="2410"/>
                          </w:tabs>
                          <w:spacing w:line="240" w:lineRule="auto"/>
                          <w:rPr>
                            <w:noProof/>
                          </w:rPr>
                        </w:pPr>
                      </w:p>
                      <w:p w14:paraId="64B16B1E" w14:textId="77777777" w:rsidR="00776E11" w:rsidRPr="008C7879" w:rsidRDefault="00776E11" w:rsidP="00776E11">
                        <w:pPr>
                          <w:tabs>
                            <w:tab w:val="left" w:pos="2410"/>
                          </w:tabs>
                          <w:spacing w:line="240" w:lineRule="auto"/>
                          <w:rPr>
                            <w:noProof/>
                          </w:rPr>
                        </w:pPr>
                      </w:p>
                      <w:p w14:paraId="056741EE" w14:textId="77777777" w:rsidR="00776E11" w:rsidRDefault="00776E11" w:rsidP="00776E11">
                        <w:pPr>
                          <w:tabs>
                            <w:tab w:val="left" w:pos="2410"/>
                          </w:tabs>
                          <w:spacing w:line="240" w:lineRule="auto"/>
                          <w:rPr>
                            <w:noProof/>
                          </w:rPr>
                        </w:pPr>
                      </w:p>
                      <w:p w14:paraId="65590DBE" w14:textId="77777777" w:rsidR="00776E11" w:rsidRPr="008C7879" w:rsidRDefault="00776E11" w:rsidP="00776E11">
                        <w:pPr>
                          <w:tabs>
                            <w:tab w:val="left" w:pos="2410"/>
                          </w:tabs>
                          <w:spacing w:line="240" w:lineRule="auto"/>
                          <w:rPr>
                            <w:noProof/>
                          </w:rPr>
                        </w:pPr>
                      </w:p>
                      <w:p w14:paraId="24711A67" w14:textId="77777777" w:rsidR="00776E11" w:rsidRPr="008C7879" w:rsidRDefault="00776E11" w:rsidP="00776E11">
                        <w:pPr>
                          <w:tabs>
                            <w:tab w:val="left" w:pos="2410"/>
                          </w:tabs>
                          <w:spacing w:line="240" w:lineRule="auto"/>
                          <w:rPr>
                            <w:noProof/>
                          </w:rPr>
                        </w:pPr>
                      </w:p>
                      <w:p w14:paraId="220E95DF" w14:textId="77777777" w:rsidR="00776E11" w:rsidRPr="008C7879" w:rsidRDefault="00776E11" w:rsidP="00776E11">
                        <w:pPr>
                          <w:tabs>
                            <w:tab w:val="left" w:pos="2410"/>
                          </w:tabs>
                          <w:spacing w:line="240" w:lineRule="auto"/>
                          <w:rPr>
                            <w:noProof/>
                          </w:rPr>
                        </w:pPr>
                      </w:p>
                      <w:p w14:paraId="2498452F" w14:textId="77777777" w:rsidR="00776E11" w:rsidRPr="008C7879" w:rsidRDefault="00776E11" w:rsidP="00776E11">
                        <w:pPr>
                          <w:tabs>
                            <w:tab w:val="left" w:pos="2410"/>
                          </w:tabs>
                          <w:spacing w:line="240" w:lineRule="auto"/>
                          <w:rPr>
                            <w:noProof/>
                          </w:rPr>
                        </w:pPr>
                      </w:p>
                      <w:p w14:paraId="00A2E642" w14:textId="77777777" w:rsidR="00776E11" w:rsidRPr="008C7879" w:rsidRDefault="00776E11" w:rsidP="00776E11">
                        <w:pPr>
                          <w:tabs>
                            <w:tab w:val="left" w:pos="2410"/>
                          </w:tabs>
                          <w:spacing w:line="240" w:lineRule="auto"/>
                          <w:rPr>
                            <w:noProof/>
                          </w:rPr>
                        </w:pPr>
                      </w:p>
                      <w:p w14:paraId="04681EB6" w14:textId="77777777" w:rsidR="00776E11" w:rsidRPr="008C7879" w:rsidRDefault="00776E11" w:rsidP="00776E11">
                        <w:pPr>
                          <w:tabs>
                            <w:tab w:val="left" w:pos="2410"/>
                          </w:tabs>
                          <w:spacing w:line="240" w:lineRule="auto"/>
                          <w:rPr>
                            <w:noProof/>
                          </w:rPr>
                        </w:pPr>
                      </w:p>
                      <w:p w14:paraId="296EF074" w14:textId="77777777" w:rsidR="00776E11" w:rsidRPr="008C7879" w:rsidRDefault="00776E11" w:rsidP="00776E11">
                        <w:pPr>
                          <w:tabs>
                            <w:tab w:val="left" w:pos="2410"/>
                          </w:tabs>
                          <w:spacing w:line="240" w:lineRule="auto"/>
                          <w:rPr>
                            <w:noProof/>
                          </w:rPr>
                        </w:pPr>
                      </w:p>
                      <w:p w14:paraId="200B6A4B" w14:textId="77777777" w:rsidR="00776E11" w:rsidRPr="008C7879" w:rsidRDefault="00776E11" w:rsidP="00776E11">
                        <w:pPr>
                          <w:tabs>
                            <w:tab w:val="left" w:pos="2410"/>
                          </w:tabs>
                          <w:spacing w:line="240" w:lineRule="auto"/>
                          <w:rPr>
                            <w:noProof/>
                          </w:rPr>
                        </w:pPr>
                      </w:p>
                      <w:p w14:paraId="70F972C2" w14:textId="77777777" w:rsidR="00776E11" w:rsidRPr="008C7879" w:rsidRDefault="00776E11" w:rsidP="00776E11">
                        <w:pPr>
                          <w:tabs>
                            <w:tab w:val="left" w:pos="2410"/>
                          </w:tabs>
                          <w:spacing w:line="240" w:lineRule="auto"/>
                          <w:rPr>
                            <w:noProof/>
                          </w:rPr>
                        </w:pPr>
                      </w:p>
                      <w:p w14:paraId="2CB464D1" w14:textId="77777777" w:rsidR="00776E11" w:rsidRPr="008C7879" w:rsidRDefault="00776E11" w:rsidP="00776E11">
                        <w:pPr>
                          <w:tabs>
                            <w:tab w:val="left" w:pos="2410"/>
                          </w:tabs>
                          <w:spacing w:line="240" w:lineRule="auto"/>
                          <w:rPr>
                            <w:noProof/>
                          </w:rPr>
                        </w:pPr>
                      </w:p>
                      <w:p w14:paraId="1F8C6A30" w14:textId="77777777" w:rsidR="00776E11" w:rsidRPr="008C7879" w:rsidRDefault="00776E11" w:rsidP="00776E11">
                        <w:pPr>
                          <w:tabs>
                            <w:tab w:val="left" w:pos="2410"/>
                          </w:tabs>
                          <w:spacing w:line="240" w:lineRule="auto"/>
                          <w:rPr>
                            <w:noProof/>
                          </w:rPr>
                        </w:pPr>
                      </w:p>
                      <w:p w14:paraId="68D2791E" w14:textId="77777777" w:rsidR="00776E11" w:rsidRPr="008C7879" w:rsidRDefault="00776E11" w:rsidP="00776E11">
                        <w:pPr>
                          <w:tabs>
                            <w:tab w:val="left" w:pos="2410"/>
                          </w:tabs>
                          <w:spacing w:line="240" w:lineRule="auto"/>
                          <w:rPr>
                            <w:noProof/>
                          </w:rPr>
                        </w:pPr>
                      </w:p>
                      <w:p w14:paraId="6D7D7140" w14:textId="77777777" w:rsidR="00776E11" w:rsidRPr="008C7879" w:rsidRDefault="00776E11" w:rsidP="00776E11">
                        <w:pPr>
                          <w:tabs>
                            <w:tab w:val="left" w:pos="2410"/>
                          </w:tabs>
                          <w:spacing w:line="240" w:lineRule="auto"/>
                          <w:rPr>
                            <w:noProof/>
                          </w:rPr>
                        </w:pPr>
                      </w:p>
                      <w:p w14:paraId="006EA009" w14:textId="77777777" w:rsidR="00776E11" w:rsidRPr="008C7879" w:rsidRDefault="00776E11" w:rsidP="00776E11">
                        <w:pPr>
                          <w:tabs>
                            <w:tab w:val="left" w:pos="2410"/>
                          </w:tabs>
                          <w:spacing w:line="240" w:lineRule="auto"/>
                          <w:rPr>
                            <w:noProof/>
                          </w:rPr>
                        </w:pPr>
                      </w:p>
                      <w:p w14:paraId="2EFE2F72" w14:textId="77777777" w:rsidR="00776E11" w:rsidRPr="008C7879" w:rsidRDefault="00776E11" w:rsidP="00776E11">
                        <w:pPr>
                          <w:tabs>
                            <w:tab w:val="left" w:pos="2410"/>
                          </w:tabs>
                          <w:spacing w:line="240" w:lineRule="auto"/>
                          <w:rPr>
                            <w:noProof/>
                          </w:rPr>
                        </w:pPr>
                      </w:p>
                      <w:p w14:paraId="686EE867" w14:textId="77777777" w:rsidR="00776E11" w:rsidRPr="008C7879" w:rsidRDefault="00776E11" w:rsidP="00776E11">
                        <w:pPr>
                          <w:tabs>
                            <w:tab w:val="left" w:pos="2410"/>
                          </w:tabs>
                          <w:spacing w:line="240" w:lineRule="auto"/>
                          <w:rPr>
                            <w:noProof/>
                          </w:rPr>
                        </w:pPr>
                      </w:p>
                      <w:p w14:paraId="01D6A168" w14:textId="77777777" w:rsidR="00776E11" w:rsidRPr="008C7879" w:rsidRDefault="00776E11" w:rsidP="00776E11">
                        <w:pPr>
                          <w:tabs>
                            <w:tab w:val="left" w:pos="2410"/>
                          </w:tabs>
                          <w:spacing w:line="240" w:lineRule="auto"/>
                          <w:rPr>
                            <w:noProof/>
                          </w:rPr>
                        </w:pPr>
                      </w:p>
                      <w:p w14:paraId="21FAD6D1" w14:textId="77777777" w:rsidR="00776E11" w:rsidRPr="008C7879" w:rsidRDefault="00776E11" w:rsidP="00776E11">
                        <w:pPr>
                          <w:tabs>
                            <w:tab w:val="left" w:pos="2410"/>
                          </w:tabs>
                          <w:spacing w:line="240" w:lineRule="auto"/>
                          <w:rPr>
                            <w:noProof/>
                          </w:rPr>
                        </w:pPr>
                      </w:p>
                      <w:p w14:paraId="2F0FE712" w14:textId="77777777" w:rsidR="00776E11" w:rsidRPr="008C7879" w:rsidRDefault="00776E11" w:rsidP="00776E11">
                        <w:pPr>
                          <w:tabs>
                            <w:tab w:val="left" w:pos="2410"/>
                          </w:tabs>
                          <w:spacing w:line="240" w:lineRule="auto"/>
                          <w:rPr>
                            <w:noProof/>
                          </w:rPr>
                        </w:pPr>
                      </w:p>
                      <w:p w14:paraId="10207189" w14:textId="77777777" w:rsidR="00776E11" w:rsidRPr="008C7879" w:rsidRDefault="00776E11" w:rsidP="00776E11">
                        <w:pPr>
                          <w:tabs>
                            <w:tab w:val="left" w:pos="2410"/>
                          </w:tabs>
                          <w:spacing w:line="240" w:lineRule="auto"/>
                          <w:rPr>
                            <w:noProof/>
                          </w:rPr>
                        </w:pPr>
                      </w:p>
                      <w:p w14:paraId="47B05FFF" w14:textId="77777777" w:rsidR="00776E11" w:rsidRPr="008C7879" w:rsidRDefault="00776E11" w:rsidP="00776E11">
                        <w:pPr>
                          <w:tabs>
                            <w:tab w:val="left" w:pos="2410"/>
                          </w:tabs>
                          <w:spacing w:line="240" w:lineRule="auto"/>
                          <w:rPr>
                            <w:noProof/>
                          </w:rPr>
                        </w:pPr>
                      </w:p>
                      <w:p w14:paraId="545FA190" w14:textId="77777777" w:rsidR="00776E11" w:rsidRPr="008C7879" w:rsidRDefault="00776E11" w:rsidP="00776E11">
                        <w:pPr>
                          <w:tabs>
                            <w:tab w:val="left" w:pos="2410"/>
                          </w:tabs>
                          <w:spacing w:line="240" w:lineRule="auto"/>
                          <w:rPr>
                            <w:noProof/>
                          </w:rPr>
                        </w:pPr>
                      </w:p>
                      <w:p w14:paraId="73C5E8AD" w14:textId="77777777" w:rsidR="00776E11" w:rsidRPr="008C7879" w:rsidRDefault="00776E11" w:rsidP="00776E11">
                        <w:pPr>
                          <w:tabs>
                            <w:tab w:val="left" w:pos="2410"/>
                          </w:tabs>
                          <w:spacing w:line="240" w:lineRule="auto"/>
                          <w:rPr>
                            <w:noProof/>
                          </w:rPr>
                        </w:pPr>
                      </w:p>
                      <w:p w14:paraId="0A7C2D1C" w14:textId="77777777" w:rsidR="00776E11" w:rsidRPr="008C7879" w:rsidRDefault="00776E11" w:rsidP="00776E11">
                        <w:pPr>
                          <w:tabs>
                            <w:tab w:val="left" w:pos="2410"/>
                          </w:tabs>
                          <w:spacing w:line="240" w:lineRule="auto"/>
                          <w:rPr>
                            <w:noProof/>
                          </w:rPr>
                        </w:pPr>
                      </w:p>
                      <w:p w14:paraId="58DB532D" w14:textId="77777777" w:rsidR="00776E11" w:rsidRPr="008C7879" w:rsidRDefault="00776E11" w:rsidP="00776E11">
                        <w:pPr>
                          <w:tabs>
                            <w:tab w:val="left" w:pos="2410"/>
                          </w:tabs>
                          <w:spacing w:line="240" w:lineRule="auto"/>
                          <w:rPr>
                            <w:noProof/>
                          </w:rPr>
                        </w:pPr>
                      </w:p>
                      <w:p w14:paraId="7112D48A" w14:textId="77777777" w:rsidR="00776E11" w:rsidRPr="008C7879" w:rsidRDefault="00776E11" w:rsidP="00776E11">
                        <w:pPr>
                          <w:tabs>
                            <w:tab w:val="left" w:pos="2410"/>
                          </w:tabs>
                          <w:spacing w:line="240" w:lineRule="auto"/>
                          <w:rPr>
                            <w:noProof/>
                          </w:rPr>
                        </w:pPr>
                      </w:p>
                      <w:p w14:paraId="7A70A140" w14:textId="77777777" w:rsidR="00776E11" w:rsidRPr="008C7879" w:rsidRDefault="00776E11" w:rsidP="00776E11">
                        <w:pPr>
                          <w:tabs>
                            <w:tab w:val="left" w:pos="2410"/>
                          </w:tabs>
                          <w:spacing w:line="240" w:lineRule="auto"/>
                          <w:rPr>
                            <w:noProof/>
                          </w:rPr>
                        </w:pPr>
                      </w:p>
                      <w:p w14:paraId="4DE6FC7A" w14:textId="77777777" w:rsidR="00776E11" w:rsidRPr="008C7879" w:rsidRDefault="00776E11" w:rsidP="00776E11">
                        <w:pPr>
                          <w:tabs>
                            <w:tab w:val="left" w:pos="2410"/>
                          </w:tabs>
                          <w:spacing w:line="240" w:lineRule="auto"/>
                          <w:rPr>
                            <w:noProof/>
                          </w:rPr>
                        </w:pPr>
                      </w:p>
                      <w:p w14:paraId="3170A146" w14:textId="77777777" w:rsidR="00776E11" w:rsidRPr="008C7879" w:rsidRDefault="00776E11" w:rsidP="00776E11">
                        <w:pPr>
                          <w:tabs>
                            <w:tab w:val="left" w:pos="2410"/>
                          </w:tabs>
                          <w:spacing w:line="240" w:lineRule="auto"/>
                          <w:rPr>
                            <w:noProof/>
                          </w:rPr>
                        </w:pPr>
                      </w:p>
                      <w:p w14:paraId="48E7C2CF" w14:textId="77777777" w:rsidR="00776E11" w:rsidRPr="008C7879" w:rsidRDefault="00776E11" w:rsidP="00776E11">
                        <w:pPr>
                          <w:tabs>
                            <w:tab w:val="left" w:pos="2410"/>
                          </w:tabs>
                          <w:spacing w:line="240" w:lineRule="auto"/>
                          <w:rPr>
                            <w:noProof/>
                          </w:rPr>
                        </w:pPr>
                      </w:p>
                      <w:p w14:paraId="7E296ADE" w14:textId="77777777" w:rsidR="00776E11" w:rsidRPr="008C7879" w:rsidRDefault="00776E11" w:rsidP="00776E11">
                        <w:pPr>
                          <w:tabs>
                            <w:tab w:val="left" w:pos="2410"/>
                          </w:tabs>
                          <w:spacing w:line="240" w:lineRule="auto"/>
                          <w:rPr>
                            <w:noProof/>
                          </w:rPr>
                        </w:pPr>
                      </w:p>
                      <w:p w14:paraId="15F5C787" w14:textId="77777777" w:rsidR="00776E11" w:rsidRPr="008C7879" w:rsidRDefault="00776E11" w:rsidP="00776E11">
                        <w:pPr>
                          <w:tabs>
                            <w:tab w:val="left" w:pos="2410"/>
                          </w:tabs>
                          <w:spacing w:line="240" w:lineRule="auto"/>
                          <w:rPr>
                            <w:noProof/>
                          </w:rPr>
                        </w:pPr>
                      </w:p>
                      <w:p w14:paraId="10F449B5" w14:textId="77777777" w:rsidR="00776E11" w:rsidRPr="008C7879" w:rsidRDefault="00776E11" w:rsidP="00776E11">
                        <w:pPr>
                          <w:tabs>
                            <w:tab w:val="left" w:pos="2410"/>
                          </w:tabs>
                          <w:spacing w:line="240" w:lineRule="auto"/>
                          <w:rPr>
                            <w:noProof/>
                          </w:rPr>
                        </w:pPr>
                      </w:p>
                      <w:p w14:paraId="06BC590F" w14:textId="77777777" w:rsidR="00776E11" w:rsidRPr="008C7879" w:rsidRDefault="00776E11" w:rsidP="00776E11">
                        <w:pPr>
                          <w:tabs>
                            <w:tab w:val="left" w:pos="2410"/>
                          </w:tabs>
                          <w:spacing w:line="240" w:lineRule="auto"/>
                          <w:rPr>
                            <w:noProof/>
                          </w:rPr>
                        </w:pPr>
                      </w:p>
                      <w:p w14:paraId="02B13FB0" w14:textId="77777777" w:rsidR="00776E11" w:rsidRPr="008C7879" w:rsidRDefault="00776E11" w:rsidP="00776E11">
                        <w:pPr>
                          <w:tabs>
                            <w:tab w:val="left" w:pos="2410"/>
                          </w:tabs>
                          <w:spacing w:line="240" w:lineRule="auto"/>
                          <w:rPr>
                            <w:noProof/>
                          </w:rPr>
                        </w:pPr>
                      </w:p>
                      <w:p w14:paraId="64E4EEFE" w14:textId="77777777" w:rsidR="00776E11" w:rsidRPr="008C7879" w:rsidRDefault="00776E11" w:rsidP="00776E11">
                        <w:pPr>
                          <w:tabs>
                            <w:tab w:val="left" w:pos="2410"/>
                          </w:tabs>
                          <w:spacing w:line="240" w:lineRule="auto"/>
                          <w:rPr>
                            <w:noProof/>
                          </w:rPr>
                        </w:pPr>
                      </w:p>
                      <w:p w14:paraId="3DB17EFC" w14:textId="77777777" w:rsidR="00776E11" w:rsidRPr="008C7879" w:rsidRDefault="00776E11" w:rsidP="00776E11">
                        <w:pPr>
                          <w:tabs>
                            <w:tab w:val="left" w:pos="2410"/>
                          </w:tabs>
                          <w:spacing w:line="240" w:lineRule="auto"/>
                          <w:rPr>
                            <w:noProof/>
                          </w:rPr>
                        </w:pPr>
                      </w:p>
                      <w:p w14:paraId="5D616BED" w14:textId="77777777" w:rsidR="00776E11" w:rsidRPr="008C7879" w:rsidRDefault="00776E11" w:rsidP="00776E11">
                        <w:pPr>
                          <w:tabs>
                            <w:tab w:val="left" w:pos="2410"/>
                          </w:tabs>
                          <w:spacing w:line="240" w:lineRule="auto"/>
                          <w:rPr>
                            <w:rFonts w:ascii="Arial" w:hAnsi="Arial" w:cs="Arial"/>
                            <w:sz w:val="20"/>
                          </w:rPr>
                        </w:pPr>
                      </w:p>
                      <w:p w14:paraId="7D764FE4" w14:textId="77777777" w:rsidR="00776E11" w:rsidRPr="008C7879" w:rsidRDefault="00776E11" w:rsidP="00776E11">
                        <w:pPr>
                          <w:tabs>
                            <w:tab w:val="left" w:pos="2410"/>
                          </w:tabs>
                          <w:spacing w:line="240" w:lineRule="auto"/>
                          <w:rPr>
                            <w:rFonts w:ascii="Arial" w:hAnsi="Arial" w:cs="Arial"/>
                            <w:sz w:val="20"/>
                          </w:rPr>
                        </w:pPr>
                      </w:p>
                      <w:p w14:paraId="3EE3D424" w14:textId="77777777" w:rsidR="00776E11" w:rsidRPr="008C7879" w:rsidRDefault="00776E11" w:rsidP="00776E11">
                        <w:pPr>
                          <w:tabs>
                            <w:tab w:val="left" w:pos="2410"/>
                          </w:tabs>
                          <w:spacing w:line="240" w:lineRule="auto"/>
                          <w:rPr>
                            <w:rFonts w:ascii="Arial" w:hAnsi="Arial" w:cs="Arial"/>
                            <w:sz w:val="20"/>
                          </w:rPr>
                        </w:pPr>
                      </w:p>
                      <w:p w14:paraId="454E3BB9" w14:textId="77777777" w:rsidR="00776E11" w:rsidRPr="008C7879" w:rsidRDefault="00776E11" w:rsidP="00776E11">
                        <w:pPr>
                          <w:tabs>
                            <w:tab w:val="left" w:pos="2410"/>
                          </w:tabs>
                          <w:spacing w:line="240" w:lineRule="auto"/>
                          <w:rPr>
                            <w:rFonts w:ascii="Arial" w:hAnsi="Arial" w:cs="Arial"/>
                            <w:sz w:val="20"/>
                          </w:rPr>
                        </w:pPr>
                      </w:p>
                      <w:p w14:paraId="65560F75" w14:textId="77777777" w:rsidR="00776E11" w:rsidRPr="008C7879" w:rsidRDefault="00776E11" w:rsidP="00776E11">
                        <w:pPr>
                          <w:tabs>
                            <w:tab w:val="left" w:pos="2410"/>
                          </w:tabs>
                          <w:spacing w:line="240" w:lineRule="auto"/>
                          <w:rPr>
                            <w:rFonts w:ascii="Arial" w:hAnsi="Arial" w:cs="Arial"/>
                            <w:sz w:val="20"/>
                          </w:rPr>
                        </w:pPr>
                      </w:p>
                      <w:p w14:paraId="319BE0E2" w14:textId="77777777" w:rsidR="00776E11" w:rsidRPr="008C7879" w:rsidRDefault="00776E11" w:rsidP="00776E11">
                        <w:pPr>
                          <w:tabs>
                            <w:tab w:val="left" w:pos="2410"/>
                          </w:tabs>
                          <w:spacing w:line="240" w:lineRule="auto"/>
                          <w:rPr>
                            <w:rFonts w:ascii="Arial" w:hAnsi="Arial" w:cs="Arial"/>
                            <w:sz w:val="20"/>
                          </w:rPr>
                        </w:pPr>
                      </w:p>
                      <w:p w14:paraId="440F0EB9" w14:textId="77777777" w:rsidR="00776E11" w:rsidRPr="008C7879" w:rsidRDefault="00776E11" w:rsidP="00776E11">
                        <w:pPr>
                          <w:tabs>
                            <w:tab w:val="left" w:pos="2410"/>
                          </w:tabs>
                          <w:spacing w:line="240" w:lineRule="auto"/>
                          <w:rPr>
                            <w:rFonts w:ascii="Arial" w:hAnsi="Arial" w:cs="Arial"/>
                            <w:sz w:val="20"/>
                          </w:rPr>
                        </w:pPr>
                      </w:p>
                      <w:p w14:paraId="10B4BA22" w14:textId="77777777" w:rsidR="00776E11" w:rsidRPr="008C7879" w:rsidRDefault="00776E11" w:rsidP="00776E11">
                        <w:pPr>
                          <w:tabs>
                            <w:tab w:val="left" w:pos="2410"/>
                          </w:tabs>
                          <w:spacing w:line="240" w:lineRule="auto"/>
                          <w:rPr>
                            <w:rFonts w:ascii="Arial" w:hAnsi="Arial" w:cs="Arial"/>
                            <w:sz w:val="20"/>
                          </w:rPr>
                        </w:pPr>
                      </w:p>
                      <w:p w14:paraId="0055658D" w14:textId="77777777" w:rsidR="00776E11" w:rsidRPr="008C7879" w:rsidRDefault="00776E11" w:rsidP="00776E11">
                        <w:pPr>
                          <w:tabs>
                            <w:tab w:val="left" w:pos="2410"/>
                          </w:tabs>
                          <w:spacing w:line="240" w:lineRule="auto"/>
                          <w:rPr>
                            <w:rFonts w:ascii="Arial" w:hAnsi="Arial" w:cs="Arial"/>
                            <w:sz w:val="20"/>
                          </w:rPr>
                        </w:pPr>
                      </w:p>
                      <w:p w14:paraId="6725725D" w14:textId="77777777" w:rsidR="00776E11" w:rsidRPr="008C7879" w:rsidRDefault="00776E11" w:rsidP="00776E11">
                        <w:pPr>
                          <w:tabs>
                            <w:tab w:val="left" w:pos="2410"/>
                          </w:tabs>
                          <w:spacing w:line="240" w:lineRule="auto"/>
                          <w:rPr>
                            <w:rFonts w:ascii="Arial" w:hAnsi="Arial" w:cs="Arial"/>
                            <w:sz w:val="20"/>
                          </w:rPr>
                        </w:pPr>
                      </w:p>
                      <w:p w14:paraId="22A15712" w14:textId="77777777" w:rsidR="00776E11" w:rsidRPr="008C7879" w:rsidRDefault="00776E11" w:rsidP="00776E11">
                        <w:pPr>
                          <w:tabs>
                            <w:tab w:val="left" w:pos="2410"/>
                          </w:tabs>
                          <w:spacing w:line="240" w:lineRule="auto"/>
                          <w:rPr>
                            <w:rFonts w:ascii="Arial" w:hAnsi="Arial" w:cs="Arial"/>
                            <w:sz w:val="20"/>
                          </w:rPr>
                        </w:pPr>
                      </w:p>
                      <w:p w14:paraId="22960404" w14:textId="77777777" w:rsidR="00776E11" w:rsidRPr="008C7879" w:rsidRDefault="00776E11" w:rsidP="00776E11">
                        <w:pPr>
                          <w:tabs>
                            <w:tab w:val="left" w:pos="2410"/>
                          </w:tabs>
                          <w:spacing w:line="240" w:lineRule="auto"/>
                          <w:rPr>
                            <w:rFonts w:ascii="Arial" w:hAnsi="Arial" w:cs="Arial"/>
                            <w:sz w:val="20"/>
                          </w:rPr>
                        </w:pPr>
                      </w:p>
                      <w:p w14:paraId="7024C2F3" w14:textId="77777777" w:rsidR="00776E11" w:rsidRPr="008C7879" w:rsidRDefault="00776E11" w:rsidP="00776E11">
                        <w:pPr>
                          <w:tabs>
                            <w:tab w:val="left" w:pos="2410"/>
                          </w:tabs>
                          <w:spacing w:line="240" w:lineRule="auto"/>
                          <w:rPr>
                            <w:rFonts w:ascii="Arial" w:hAnsi="Arial" w:cs="Arial"/>
                            <w:sz w:val="20"/>
                          </w:rPr>
                        </w:pPr>
                      </w:p>
                      <w:p w14:paraId="4D57D8A4" w14:textId="77777777" w:rsidR="00776E11" w:rsidRPr="008C7879" w:rsidRDefault="00776E11" w:rsidP="00776E11">
                        <w:pPr>
                          <w:tabs>
                            <w:tab w:val="left" w:pos="2410"/>
                          </w:tabs>
                          <w:spacing w:line="240" w:lineRule="auto"/>
                          <w:rPr>
                            <w:rFonts w:ascii="Arial" w:hAnsi="Arial" w:cs="Arial"/>
                            <w:sz w:val="20"/>
                          </w:rPr>
                        </w:pPr>
                      </w:p>
                      <w:p w14:paraId="3E1EE8DD" w14:textId="77777777" w:rsidR="00776E11" w:rsidRPr="008C7879" w:rsidRDefault="00776E11" w:rsidP="00776E11">
                        <w:pPr>
                          <w:tabs>
                            <w:tab w:val="left" w:pos="2410"/>
                          </w:tabs>
                          <w:spacing w:line="240" w:lineRule="auto"/>
                          <w:rPr>
                            <w:rFonts w:ascii="Arial" w:hAnsi="Arial" w:cs="Arial"/>
                            <w:sz w:val="20"/>
                          </w:rPr>
                        </w:pPr>
                      </w:p>
                      <w:p w14:paraId="42D84598" w14:textId="77777777" w:rsidR="00776E11" w:rsidRPr="008C7879" w:rsidRDefault="00776E11" w:rsidP="00776E11">
                        <w:pPr>
                          <w:tabs>
                            <w:tab w:val="left" w:pos="2410"/>
                          </w:tabs>
                          <w:spacing w:line="240" w:lineRule="auto"/>
                          <w:rPr>
                            <w:rFonts w:ascii="Arial" w:hAnsi="Arial" w:cs="Arial"/>
                            <w:sz w:val="20"/>
                          </w:rPr>
                        </w:pPr>
                      </w:p>
                      <w:p w14:paraId="7DF2B3DA" w14:textId="77777777" w:rsidR="00776E11" w:rsidRPr="008C7879" w:rsidRDefault="00776E11" w:rsidP="00776E11">
                        <w:pPr>
                          <w:tabs>
                            <w:tab w:val="left" w:pos="2410"/>
                          </w:tabs>
                          <w:spacing w:line="240" w:lineRule="auto"/>
                          <w:rPr>
                            <w:rFonts w:ascii="Arial" w:hAnsi="Arial" w:cs="Arial"/>
                            <w:sz w:val="20"/>
                          </w:rPr>
                        </w:pPr>
                      </w:p>
                      <w:p w14:paraId="62EAB804" w14:textId="77777777" w:rsidR="00776E11" w:rsidRPr="008C7879" w:rsidRDefault="00776E11" w:rsidP="00776E11">
                        <w:pPr>
                          <w:tabs>
                            <w:tab w:val="left" w:pos="2410"/>
                          </w:tabs>
                          <w:spacing w:line="240" w:lineRule="auto"/>
                          <w:rPr>
                            <w:rFonts w:ascii="Arial" w:hAnsi="Arial" w:cs="Arial"/>
                            <w:sz w:val="20"/>
                          </w:rPr>
                        </w:pPr>
                      </w:p>
                      <w:p w14:paraId="61A25B2D" w14:textId="77777777" w:rsidR="00776E11" w:rsidRPr="008C7879" w:rsidRDefault="00776E11" w:rsidP="00776E11">
                        <w:pPr>
                          <w:tabs>
                            <w:tab w:val="left" w:pos="2410"/>
                          </w:tabs>
                          <w:spacing w:line="240" w:lineRule="auto"/>
                          <w:rPr>
                            <w:rFonts w:ascii="Arial" w:hAnsi="Arial" w:cs="Arial"/>
                            <w:sz w:val="20"/>
                          </w:rPr>
                        </w:pPr>
                      </w:p>
                      <w:p w14:paraId="2C90B281" w14:textId="77777777" w:rsidR="00776E11" w:rsidRPr="008C7879" w:rsidRDefault="00776E11" w:rsidP="00776E11">
                        <w:pPr>
                          <w:tabs>
                            <w:tab w:val="left" w:pos="2410"/>
                          </w:tabs>
                          <w:spacing w:line="240" w:lineRule="auto"/>
                          <w:rPr>
                            <w:rFonts w:ascii="Arial" w:hAnsi="Arial" w:cs="Arial"/>
                            <w:sz w:val="20"/>
                          </w:rPr>
                        </w:pPr>
                      </w:p>
                      <w:p w14:paraId="461CBA95" w14:textId="77777777" w:rsidR="00776E11" w:rsidRPr="008C7879" w:rsidRDefault="00776E11" w:rsidP="00776E11">
                        <w:pPr>
                          <w:tabs>
                            <w:tab w:val="left" w:pos="2410"/>
                          </w:tabs>
                          <w:spacing w:line="240" w:lineRule="auto"/>
                          <w:rPr>
                            <w:rFonts w:ascii="Arial" w:hAnsi="Arial" w:cs="Arial"/>
                            <w:sz w:val="20"/>
                          </w:rPr>
                        </w:pPr>
                      </w:p>
                    </w:txbxContent>
                  </v:textbox>
                </v:shape>
              </v:group>
            </w:pict>
          </mc:Fallback>
        </mc:AlternateContent>
      </w:r>
    </w:p>
    <w:p w14:paraId="75524E17" w14:textId="77777777" w:rsidR="00776E11" w:rsidRDefault="00776E11" w:rsidP="00776E11">
      <w:pPr>
        <w:pStyle w:val="a4"/>
        <w:kinsoku w:val="0"/>
        <w:overflowPunct w:val="0"/>
        <w:spacing w:before="69"/>
        <w:ind w:right="170"/>
        <w:jc w:val="both"/>
        <w:rPr>
          <w:noProof/>
          <w:lang w:val="el-GR" w:eastAsia="el-GR"/>
        </w:rPr>
      </w:pPr>
    </w:p>
    <w:p w14:paraId="718AC5DC" w14:textId="77777777" w:rsidR="00776E11" w:rsidRDefault="00776E11" w:rsidP="00776E11">
      <w:pPr>
        <w:pStyle w:val="a4"/>
        <w:kinsoku w:val="0"/>
        <w:overflowPunct w:val="0"/>
        <w:spacing w:before="69"/>
        <w:ind w:right="170"/>
        <w:jc w:val="both"/>
        <w:rPr>
          <w:noProof/>
          <w:lang w:val="el-GR" w:eastAsia="el-GR"/>
        </w:rPr>
      </w:pPr>
    </w:p>
    <w:p w14:paraId="73D56C59" w14:textId="77777777" w:rsidR="00776E11" w:rsidRDefault="00776E11" w:rsidP="00776E11">
      <w:pPr>
        <w:pStyle w:val="a4"/>
        <w:kinsoku w:val="0"/>
        <w:overflowPunct w:val="0"/>
        <w:spacing w:before="69"/>
        <w:ind w:right="170"/>
        <w:jc w:val="both"/>
        <w:rPr>
          <w:noProof/>
          <w:lang w:val="el-GR" w:eastAsia="el-GR"/>
        </w:rPr>
      </w:pPr>
    </w:p>
    <w:p w14:paraId="5DAA9408" w14:textId="77777777" w:rsidR="00776E11" w:rsidRDefault="00776E11" w:rsidP="00776E11">
      <w:pPr>
        <w:pStyle w:val="a4"/>
        <w:kinsoku w:val="0"/>
        <w:overflowPunct w:val="0"/>
        <w:spacing w:before="69"/>
        <w:ind w:right="170"/>
        <w:jc w:val="both"/>
        <w:rPr>
          <w:noProof/>
          <w:lang w:val="el-GR" w:eastAsia="el-GR"/>
        </w:rPr>
      </w:pPr>
    </w:p>
    <w:p w14:paraId="73FDE0ED" w14:textId="77777777" w:rsidR="00776E11" w:rsidRDefault="00776E11" w:rsidP="00776E11">
      <w:pPr>
        <w:pStyle w:val="a4"/>
        <w:kinsoku w:val="0"/>
        <w:overflowPunct w:val="0"/>
        <w:spacing w:before="69"/>
        <w:ind w:right="170"/>
        <w:jc w:val="both"/>
        <w:rPr>
          <w:noProof/>
          <w:lang w:val="el-GR" w:eastAsia="el-GR"/>
        </w:rPr>
      </w:pPr>
    </w:p>
    <w:p w14:paraId="6DAAE51F" w14:textId="77777777" w:rsidR="00776E11" w:rsidRDefault="00776E11" w:rsidP="00776E11">
      <w:pPr>
        <w:pStyle w:val="a4"/>
        <w:kinsoku w:val="0"/>
        <w:overflowPunct w:val="0"/>
        <w:spacing w:before="69"/>
        <w:ind w:right="170"/>
        <w:jc w:val="both"/>
        <w:rPr>
          <w:noProof/>
          <w:lang w:val="el-GR" w:eastAsia="el-GR"/>
        </w:rPr>
      </w:pPr>
    </w:p>
    <w:p w14:paraId="5024CE5F" w14:textId="77777777" w:rsidR="00776E11" w:rsidRDefault="00776E11" w:rsidP="00776E11">
      <w:pPr>
        <w:pStyle w:val="a4"/>
        <w:kinsoku w:val="0"/>
        <w:overflowPunct w:val="0"/>
        <w:spacing w:before="69"/>
        <w:ind w:right="170"/>
        <w:jc w:val="both"/>
        <w:rPr>
          <w:noProof/>
          <w:lang w:val="el-GR" w:eastAsia="el-GR"/>
        </w:rPr>
      </w:pPr>
    </w:p>
    <w:p w14:paraId="2F0DF2F2" w14:textId="77777777" w:rsidR="00776E11" w:rsidRDefault="00776E11" w:rsidP="00776E11">
      <w:pPr>
        <w:pStyle w:val="a4"/>
        <w:kinsoku w:val="0"/>
        <w:overflowPunct w:val="0"/>
        <w:spacing w:before="69"/>
        <w:ind w:right="170"/>
        <w:jc w:val="both"/>
        <w:rPr>
          <w:noProof/>
          <w:lang w:val="el-GR" w:eastAsia="el-GR"/>
        </w:rPr>
      </w:pPr>
    </w:p>
    <w:p w14:paraId="452DFEFD" w14:textId="77777777" w:rsidR="00776E11" w:rsidRDefault="00776E11" w:rsidP="00776E11">
      <w:pPr>
        <w:pStyle w:val="a4"/>
        <w:kinsoku w:val="0"/>
        <w:overflowPunct w:val="0"/>
        <w:spacing w:before="69"/>
        <w:ind w:right="170"/>
        <w:jc w:val="both"/>
        <w:rPr>
          <w:noProof/>
          <w:lang w:val="el-GR" w:eastAsia="el-GR"/>
        </w:rPr>
      </w:pPr>
    </w:p>
    <w:p w14:paraId="109BF7EB" w14:textId="77777777" w:rsidR="00776E11" w:rsidRDefault="00776E11" w:rsidP="00776E11">
      <w:pPr>
        <w:pStyle w:val="a4"/>
        <w:kinsoku w:val="0"/>
        <w:overflowPunct w:val="0"/>
        <w:spacing w:before="69"/>
        <w:ind w:right="170"/>
        <w:jc w:val="both"/>
        <w:rPr>
          <w:noProof/>
          <w:lang w:val="el-GR" w:eastAsia="el-GR"/>
        </w:rPr>
      </w:pPr>
    </w:p>
    <w:p w14:paraId="4A82BB33" w14:textId="77777777" w:rsidR="00776E11" w:rsidRDefault="00776E11" w:rsidP="00776E11">
      <w:pPr>
        <w:pStyle w:val="a4"/>
        <w:kinsoku w:val="0"/>
        <w:overflowPunct w:val="0"/>
        <w:spacing w:before="69"/>
        <w:ind w:right="170"/>
        <w:jc w:val="both"/>
        <w:rPr>
          <w:noProof/>
          <w:lang w:val="el-GR" w:eastAsia="el-GR"/>
        </w:rPr>
      </w:pPr>
    </w:p>
    <w:p w14:paraId="145482A6" w14:textId="77777777" w:rsidR="00776E11" w:rsidRDefault="00776E11" w:rsidP="00776E11">
      <w:pPr>
        <w:pStyle w:val="a4"/>
        <w:kinsoku w:val="0"/>
        <w:overflowPunct w:val="0"/>
        <w:spacing w:before="69"/>
        <w:ind w:right="170"/>
        <w:jc w:val="both"/>
        <w:rPr>
          <w:noProof/>
          <w:lang w:val="el-GR" w:eastAsia="el-GR"/>
        </w:rPr>
      </w:pPr>
    </w:p>
    <w:p w14:paraId="0924DC18" w14:textId="77777777" w:rsidR="00776E11" w:rsidRDefault="00776E11" w:rsidP="00776E11">
      <w:pPr>
        <w:pStyle w:val="a4"/>
        <w:kinsoku w:val="0"/>
        <w:overflowPunct w:val="0"/>
        <w:spacing w:before="69"/>
        <w:ind w:right="170"/>
        <w:jc w:val="both"/>
        <w:rPr>
          <w:noProof/>
          <w:lang w:val="el-GR" w:eastAsia="el-GR"/>
        </w:rPr>
      </w:pPr>
    </w:p>
    <w:p w14:paraId="661C4AA0" w14:textId="77777777" w:rsidR="00776E11" w:rsidRDefault="00776E11" w:rsidP="00776E11">
      <w:pPr>
        <w:pStyle w:val="a4"/>
        <w:kinsoku w:val="0"/>
        <w:overflowPunct w:val="0"/>
        <w:spacing w:before="69"/>
        <w:ind w:right="170"/>
        <w:jc w:val="both"/>
        <w:rPr>
          <w:noProof/>
          <w:lang w:val="el-GR" w:eastAsia="el-GR"/>
        </w:rPr>
      </w:pPr>
    </w:p>
    <w:p w14:paraId="6667C805" w14:textId="77777777" w:rsidR="00776E11" w:rsidRPr="00BE4C08" w:rsidRDefault="00776E11" w:rsidP="00776E11">
      <w:pPr>
        <w:pStyle w:val="a4"/>
        <w:kinsoku w:val="0"/>
        <w:overflowPunct w:val="0"/>
        <w:spacing w:before="69"/>
        <w:ind w:right="170"/>
        <w:jc w:val="both"/>
        <w:rPr>
          <w:noProof/>
          <w:lang w:val="el-GR" w:eastAsia="el-GR"/>
        </w:rPr>
      </w:pPr>
    </w:p>
    <w:p w14:paraId="3671573C" w14:textId="77777777" w:rsidR="00776E11" w:rsidRPr="00BE4C08" w:rsidRDefault="00776E11" w:rsidP="00776E11">
      <w:pPr>
        <w:pStyle w:val="a4"/>
        <w:kinsoku w:val="0"/>
        <w:overflowPunct w:val="0"/>
        <w:spacing w:before="69"/>
        <w:ind w:right="170"/>
        <w:jc w:val="both"/>
        <w:rPr>
          <w:noProof/>
          <w:lang w:val="el-GR"/>
        </w:rPr>
      </w:pPr>
      <w:r>
        <w:rPr>
          <w:noProof/>
          <w:lang w:val="el-GR" w:eastAsia="el-GR"/>
        </w:rPr>
        <w:lastRenderedPageBreak/>
        <w:drawing>
          <wp:anchor distT="0" distB="0" distL="114300" distR="114300" simplePos="0" relativeHeight="251680768" behindDoc="0" locked="0" layoutInCell="1" allowOverlap="1" wp14:anchorId="1BF7B848" wp14:editId="09655FAD">
            <wp:simplePos x="0" y="0"/>
            <wp:positionH relativeFrom="margin">
              <wp:posOffset>1094105</wp:posOffset>
            </wp:positionH>
            <wp:positionV relativeFrom="paragraph">
              <wp:posOffset>66675</wp:posOffset>
            </wp:positionV>
            <wp:extent cx="6090920" cy="514350"/>
            <wp:effectExtent l="0" t="0" r="508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90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C7675" w14:textId="77777777" w:rsidR="00776E11" w:rsidRPr="00BE4C08" w:rsidRDefault="00776E11" w:rsidP="00776E11">
      <w:pPr>
        <w:pStyle w:val="a4"/>
        <w:kinsoku w:val="0"/>
        <w:overflowPunct w:val="0"/>
        <w:spacing w:before="69"/>
        <w:ind w:right="170"/>
        <w:jc w:val="both"/>
        <w:rPr>
          <w:noProof/>
          <w:lang w:val="el-GR"/>
        </w:rPr>
      </w:pPr>
    </w:p>
    <w:p w14:paraId="05C9424C" w14:textId="77777777" w:rsidR="00776E11" w:rsidRPr="00BE4C08" w:rsidRDefault="00776E11" w:rsidP="00776E11">
      <w:pPr>
        <w:pStyle w:val="a4"/>
        <w:kinsoku w:val="0"/>
        <w:overflowPunct w:val="0"/>
        <w:spacing w:before="69"/>
        <w:ind w:right="170"/>
        <w:jc w:val="both"/>
        <w:rPr>
          <w:lang w:val="el-GR"/>
        </w:rPr>
      </w:pPr>
    </w:p>
    <w:p w14:paraId="1500FE48" w14:textId="7E55C8C1" w:rsidR="00776E11" w:rsidRDefault="00776E11" w:rsidP="00776E11">
      <w:pPr>
        <w:pStyle w:val="a4"/>
        <w:kinsoku w:val="0"/>
        <w:overflowPunct w:val="0"/>
        <w:spacing w:before="69" w:after="120"/>
        <w:ind w:right="170"/>
        <w:jc w:val="both"/>
        <w:rPr>
          <w:lang w:val="el-GR"/>
        </w:rPr>
      </w:pPr>
    </w:p>
    <w:p w14:paraId="3C03A0D4" w14:textId="77777777" w:rsidR="00776E11" w:rsidRPr="00BE4C08" w:rsidRDefault="00776E11" w:rsidP="00776E11">
      <w:pPr>
        <w:pStyle w:val="a4"/>
        <w:kinsoku w:val="0"/>
        <w:overflowPunct w:val="0"/>
        <w:spacing w:before="69" w:after="120"/>
        <w:ind w:right="170"/>
        <w:jc w:val="both"/>
        <w:rPr>
          <w:lang w:val="el-GR"/>
        </w:rPr>
      </w:pPr>
    </w:p>
    <w:p w14:paraId="6227CB20" w14:textId="77777777" w:rsidR="00776E11" w:rsidRPr="008360E5" w:rsidRDefault="00776E11" w:rsidP="00776E11">
      <w:pPr>
        <w:pStyle w:val="1"/>
        <w:pBdr>
          <w:top w:val="single" w:sz="8" w:space="0" w:color="00B0F0"/>
          <w:bottom w:val="single" w:sz="8" w:space="1" w:color="00B0F0"/>
        </w:pBdr>
        <w:tabs>
          <w:tab w:val="left" w:pos="11057"/>
        </w:tabs>
        <w:kinsoku w:val="0"/>
        <w:overflowPunct w:val="0"/>
        <w:spacing w:before="0"/>
        <w:ind w:left="1758" w:right="227"/>
        <w:jc w:val="both"/>
        <w:rPr>
          <w:color w:val="63A1AA"/>
        </w:rPr>
      </w:pPr>
      <w:r w:rsidRPr="008360E5">
        <w:rPr>
          <w:color w:val="63A1AA"/>
        </w:rPr>
        <w:t>Ισοτιμίες</w:t>
      </w:r>
    </w:p>
    <w:p w14:paraId="2BA86298" w14:textId="77777777" w:rsidR="00776E11" w:rsidRPr="00FC0851" w:rsidRDefault="00776E11" w:rsidP="00776E11">
      <w:pPr>
        <w:pStyle w:val="a4"/>
        <w:tabs>
          <w:tab w:val="left" w:pos="11057"/>
        </w:tabs>
        <w:kinsoku w:val="0"/>
        <w:overflowPunct w:val="0"/>
        <w:ind w:left="1758" w:right="227"/>
        <w:jc w:val="both"/>
        <w:rPr>
          <w:lang w:val="el-GR"/>
        </w:rPr>
      </w:pPr>
    </w:p>
    <w:p w14:paraId="75DB1E22" w14:textId="77777777" w:rsidR="00776E11" w:rsidRDefault="00776E11" w:rsidP="00776E11">
      <w:pPr>
        <w:pStyle w:val="a4"/>
        <w:tabs>
          <w:tab w:val="left" w:pos="11057"/>
        </w:tabs>
        <w:kinsoku w:val="0"/>
        <w:overflowPunct w:val="0"/>
        <w:ind w:left="1758" w:right="227"/>
        <w:jc w:val="both"/>
        <w:rPr>
          <w:sz w:val="20"/>
          <w:szCs w:val="20"/>
          <w:lang w:val="el-GR"/>
        </w:rPr>
      </w:pPr>
      <w:r w:rsidRPr="00F3293D">
        <w:rPr>
          <w:sz w:val="20"/>
          <w:szCs w:val="20"/>
          <w:lang w:val="el-GR"/>
        </w:rPr>
        <w:t xml:space="preserve">Σύμφωνα με τα στοιχεία του Χρηματιστηρίου του </w:t>
      </w:r>
      <w:proofErr w:type="spellStart"/>
      <w:r w:rsidRPr="00F3293D">
        <w:rPr>
          <w:sz w:val="20"/>
          <w:szCs w:val="20"/>
          <w:lang w:val="el-GR"/>
        </w:rPr>
        <w:t>Σικάγου</w:t>
      </w:r>
      <w:proofErr w:type="spellEnd"/>
      <w:r w:rsidRPr="00F3293D">
        <w:rPr>
          <w:sz w:val="20"/>
          <w:szCs w:val="20"/>
          <w:lang w:val="el-GR"/>
        </w:rPr>
        <w:t>, οι συνολικές καθαρές τοποθετήσεις (αγορές μείον πωλήσεις), στην ισοτιμία του ευρώ με το δολάριο, διατηρήθηκαν θετικές, την εβδομάδα που έληξε στις 11 Μαΐου. Οι θετικές θέσεις (υπέρ του ευρώ, ‟</w:t>
      </w:r>
      <w:proofErr w:type="spellStart"/>
      <w:r w:rsidRPr="00F3293D">
        <w:rPr>
          <w:sz w:val="20"/>
          <w:szCs w:val="20"/>
          <w:lang w:val="el-GR"/>
        </w:rPr>
        <w:t>long</w:t>
      </w:r>
      <w:proofErr w:type="spellEnd"/>
      <w:r w:rsidRPr="00F3293D">
        <w:rPr>
          <w:sz w:val="20"/>
          <w:szCs w:val="20"/>
          <w:lang w:val="el-GR"/>
        </w:rPr>
        <w:t xml:space="preserve">”) αυξήθηκαν κατά 9.078 συμβόλαια, με αποτέλεσμα οι συνολικές καθαρές θέσεις να διαμορφωθούν στα </w:t>
      </w:r>
      <w:bookmarkStart w:id="5" w:name="_Hlk44576361"/>
      <w:bookmarkStart w:id="6" w:name="_Hlk54682660"/>
      <w:bookmarkStart w:id="7" w:name="_Hlk56681034"/>
      <w:bookmarkStart w:id="8" w:name="_Hlk62547433"/>
      <w:r w:rsidRPr="00F3293D">
        <w:rPr>
          <w:sz w:val="20"/>
          <w:szCs w:val="20"/>
          <w:lang w:val="el-GR"/>
        </w:rPr>
        <w:t>93.</w:t>
      </w:r>
      <w:bookmarkEnd w:id="5"/>
      <w:bookmarkEnd w:id="6"/>
      <w:bookmarkEnd w:id="7"/>
      <w:bookmarkEnd w:id="8"/>
      <w:r w:rsidRPr="00F3293D">
        <w:rPr>
          <w:sz w:val="20"/>
          <w:szCs w:val="20"/>
          <w:lang w:val="el-GR"/>
        </w:rPr>
        <w:t>907 συμβόλαια, από 84.829 συμβόλαια, την προηγούμενη εβδομάδα (Γράφημα 9). Σημειώνεται ότι πρόκειται για την τέταρτη εβδομαδιαία αύξηση που καταγράφεται, από τις 23 Μαρτίου.</w:t>
      </w:r>
    </w:p>
    <w:p w14:paraId="721FF20A" w14:textId="77777777" w:rsidR="00776E11" w:rsidRDefault="00776E11" w:rsidP="00776E11">
      <w:pPr>
        <w:pStyle w:val="a4"/>
        <w:tabs>
          <w:tab w:val="left" w:pos="11057"/>
        </w:tabs>
        <w:kinsoku w:val="0"/>
        <w:overflowPunct w:val="0"/>
        <w:ind w:left="1758" w:right="227"/>
        <w:jc w:val="both"/>
        <w:rPr>
          <w:sz w:val="20"/>
          <w:szCs w:val="20"/>
          <w:lang w:val="el-GR"/>
        </w:rPr>
      </w:pPr>
    </w:p>
    <w:p w14:paraId="4E9554DB" w14:textId="77777777" w:rsidR="00776E11" w:rsidRDefault="00776E11" w:rsidP="00776E11">
      <w:pPr>
        <w:pStyle w:val="a4"/>
        <w:tabs>
          <w:tab w:val="left" w:pos="11057"/>
        </w:tabs>
        <w:kinsoku w:val="0"/>
        <w:overflowPunct w:val="0"/>
        <w:ind w:left="1758" w:right="227"/>
        <w:jc w:val="both"/>
        <w:rPr>
          <w:sz w:val="20"/>
          <w:szCs w:val="20"/>
          <w:lang w:val="el-GR"/>
        </w:rPr>
      </w:pPr>
      <w:r w:rsidRPr="001A5F17">
        <w:rPr>
          <w:rFonts w:asciiTheme="minorHAnsi" w:eastAsiaTheme="minorHAnsi" w:hAnsiTheme="minorHAnsi" w:cstheme="minorBidi"/>
          <w:noProof/>
          <w:sz w:val="22"/>
          <w:szCs w:val="22"/>
          <w:lang w:val="el-GR" w:eastAsia="el-GR"/>
        </w:rPr>
        <mc:AlternateContent>
          <mc:Choice Requires="wpg">
            <w:drawing>
              <wp:anchor distT="0" distB="0" distL="114300" distR="114300" simplePos="0" relativeHeight="251682816" behindDoc="1" locked="0" layoutInCell="1" allowOverlap="1" wp14:anchorId="11142832" wp14:editId="4D56D06B">
                <wp:simplePos x="0" y="0"/>
                <wp:positionH relativeFrom="column">
                  <wp:posOffset>0</wp:posOffset>
                </wp:positionH>
                <wp:positionV relativeFrom="paragraph">
                  <wp:posOffset>0</wp:posOffset>
                </wp:positionV>
                <wp:extent cx="7223760" cy="3262630"/>
                <wp:effectExtent l="0" t="0" r="0" b="0"/>
                <wp:wrapNone/>
                <wp:docPr id="36"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262630"/>
                          <a:chOff x="0" y="0"/>
                          <a:chExt cx="71121" cy="26289"/>
                        </a:xfrm>
                      </wpg:grpSpPr>
                      <wps:wsp>
                        <wps:cNvPr id="37" name="Rectangle 24"/>
                        <wps:cNvSpPr>
                          <a:spLocks noChangeArrowheads="1"/>
                        </wps:cNvSpPr>
                        <wps:spPr bwMode="auto">
                          <a:xfrm>
                            <a:off x="0" y="0"/>
                            <a:ext cx="10090" cy="26289"/>
                          </a:xfrm>
                          <a:prstGeom prst="rect">
                            <a:avLst/>
                          </a:pr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A4B3BC" w14:textId="77777777" w:rsidR="00776E11" w:rsidRDefault="00776E11" w:rsidP="00776E11">
                              <w:pPr>
                                <w:jc w:val="center"/>
                                <w:rPr>
                                  <w:rFonts w:ascii="Arial" w:hAnsi="Arial" w:cs="Arial"/>
                                  <w:color w:val="E24C37"/>
                                  <w:spacing w:val="-4"/>
                                  <w:sz w:val="18"/>
                                  <w:lang w:val="en-US"/>
                                </w:rPr>
                              </w:pPr>
                              <w:r w:rsidRPr="00D75593">
                                <w:rPr>
                                  <w:rFonts w:ascii="Arial" w:hAnsi="Arial" w:cs="Arial"/>
                                  <w:color w:val="E24C37"/>
                                  <w:spacing w:val="-4"/>
                                  <w:sz w:val="18"/>
                                  <w:lang w:val="en-US"/>
                                </w:rPr>
                                <w:br/>
                              </w:r>
                              <w:r w:rsidRPr="000769E0">
                                <w:rPr>
                                  <w:rFonts w:ascii="Arial" w:hAnsi="Arial" w:cs="Arial"/>
                                  <w:color w:val="FF0000"/>
                                  <w:spacing w:val="-4"/>
                                  <w:sz w:val="18"/>
                                </w:rPr>
                                <w:t>ΓΡΑΦΗΜΑ</w:t>
                              </w:r>
                              <w:r>
                                <w:rPr>
                                  <w:rFonts w:ascii="Arial" w:hAnsi="Arial" w:cs="Arial"/>
                                  <w:color w:val="FF0000"/>
                                  <w:spacing w:val="-4"/>
                                  <w:sz w:val="18"/>
                                  <w:lang w:val="en-US"/>
                                </w:rPr>
                                <w:t xml:space="preserve"> 9</w:t>
                              </w:r>
                            </w:p>
                            <w:p w14:paraId="508FF515" w14:textId="77777777" w:rsidR="00776E11" w:rsidRDefault="00776E11" w:rsidP="00776E11">
                              <w:pPr>
                                <w:jc w:val="center"/>
                                <w:rPr>
                                  <w:rFonts w:ascii="Arial" w:hAnsi="Arial" w:cs="Arial"/>
                                  <w:color w:val="E24C37"/>
                                  <w:spacing w:val="-4"/>
                                  <w:sz w:val="18"/>
                                  <w:lang w:val="en-US"/>
                                </w:rPr>
                              </w:pPr>
                            </w:p>
                            <w:p w14:paraId="3DBA12E7" w14:textId="77777777" w:rsidR="00776E11" w:rsidRDefault="00776E11" w:rsidP="00776E11">
                              <w:pPr>
                                <w:jc w:val="center"/>
                                <w:rPr>
                                  <w:rFonts w:ascii="Arial" w:hAnsi="Arial" w:cs="Arial"/>
                                  <w:color w:val="E24C37"/>
                                  <w:spacing w:val="-4"/>
                                  <w:sz w:val="18"/>
                                  <w:lang w:val="en-US"/>
                                </w:rPr>
                              </w:pPr>
                            </w:p>
                            <w:p w14:paraId="2673ED74" w14:textId="77777777" w:rsidR="00776E11" w:rsidRDefault="00776E11" w:rsidP="00776E11">
                              <w:pPr>
                                <w:jc w:val="center"/>
                                <w:rPr>
                                  <w:rFonts w:ascii="Arial" w:hAnsi="Arial" w:cs="Arial"/>
                                  <w:color w:val="E24C37"/>
                                  <w:spacing w:val="-4"/>
                                  <w:sz w:val="18"/>
                                  <w:lang w:val="en-US"/>
                                </w:rPr>
                              </w:pPr>
                            </w:p>
                            <w:p w14:paraId="48694432" w14:textId="77777777" w:rsidR="00776E11" w:rsidRDefault="00776E11" w:rsidP="00776E11">
                              <w:pPr>
                                <w:jc w:val="center"/>
                                <w:rPr>
                                  <w:rFonts w:ascii="Arial" w:hAnsi="Arial" w:cs="Arial"/>
                                  <w:color w:val="E24C37"/>
                                  <w:spacing w:val="-4"/>
                                  <w:sz w:val="18"/>
                                  <w:lang w:val="en-US"/>
                                </w:rPr>
                              </w:pPr>
                            </w:p>
                            <w:p w14:paraId="096A0FD4" w14:textId="77777777" w:rsidR="00776E11" w:rsidRDefault="00776E11" w:rsidP="00776E11">
                              <w:pPr>
                                <w:jc w:val="center"/>
                                <w:rPr>
                                  <w:rFonts w:ascii="Arial" w:hAnsi="Arial" w:cs="Arial"/>
                                  <w:color w:val="E24C37"/>
                                  <w:spacing w:val="-4"/>
                                  <w:sz w:val="18"/>
                                  <w:lang w:val="en-US"/>
                                </w:rPr>
                              </w:pPr>
                            </w:p>
                            <w:p w14:paraId="44EDED71" w14:textId="77777777" w:rsidR="00776E11" w:rsidRDefault="00776E11" w:rsidP="00776E11">
                              <w:pPr>
                                <w:jc w:val="center"/>
                                <w:rPr>
                                  <w:rFonts w:ascii="Arial" w:hAnsi="Arial" w:cs="Arial"/>
                                  <w:color w:val="E24C37"/>
                                  <w:spacing w:val="-4"/>
                                  <w:sz w:val="18"/>
                                  <w:lang w:val="en-US"/>
                                </w:rPr>
                              </w:pPr>
                            </w:p>
                            <w:p w14:paraId="76BACF14" w14:textId="77777777" w:rsidR="00776E11" w:rsidRDefault="00776E11" w:rsidP="00776E11">
                              <w:pPr>
                                <w:jc w:val="center"/>
                                <w:rPr>
                                  <w:rFonts w:ascii="Arial" w:hAnsi="Arial" w:cs="Arial"/>
                                  <w:color w:val="E24C37"/>
                                  <w:spacing w:val="-4"/>
                                  <w:sz w:val="18"/>
                                  <w:lang w:val="en-US"/>
                                </w:rPr>
                              </w:pPr>
                            </w:p>
                            <w:p w14:paraId="77A739F5" w14:textId="77777777" w:rsidR="00776E11" w:rsidRDefault="00776E11" w:rsidP="00776E11">
                              <w:pPr>
                                <w:jc w:val="center"/>
                                <w:rPr>
                                  <w:rFonts w:ascii="Arial" w:hAnsi="Arial" w:cs="Arial"/>
                                  <w:color w:val="E24C37"/>
                                  <w:spacing w:val="-4"/>
                                  <w:sz w:val="18"/>
                                  <w:lang w:val="en-US"/>
                                </w:rPr>
                              </w:pPr>
                            </w:p>
                            <w:p w14:paraId="65676A68" w14:textId="77777777" w:rsidR="00776E11" w:rsidRDefault="00776E11" w:rsidP="00776E11">
                              <w:pPr>
                                <w:jc w:val="center"/>
                                <w:rPr>
                                  <w:rFonts w:ascii="Arial" w:hAnsi="Arial" w:cs="Arial"/>
                                  <w:color w:val="E24C37"/>
                                  <w:spacing w:val="-4"/>
                                  <w:sz w:val="18"/>
                                  <w:lang w:val="en-US"/>
                                </w:rPr>
                              </w:pPr>
                            </w:p>
                            <w:p w14:paraId="4B6A021B" w14:textId="77777777" w:rsidR="00776E11" w:rsidRPr="007F4129" w:rsidRDefault="00776E11" w:rsidP="00776E11">
                              <w:pPr>
                                <w:jc w:val="center"/>
                                <w:rPr>
                                  <w:rFonts w:ascii="Arial" w:hAnsi="Arial" w:cs="Arial"/>
                                  <w:color w:val="000000"/>
                                  <w:spacing w:val="-4"/>
                                  <w:sz w:val="18"/>
                                  <w:lang w:val="en-US"/>
                                </w:rPr>
                              </w:pPr>
                              <w:r w:rsidRPr="0004158C">
                                <w:rPr>
                                  <w:rFonts w:ascii="Arial" w:hAnsi="Arial" w:cs="Arial"/>
                                  <w:color w:val="000000"/>
                                  <w:spacing w:val="-4"/>
                                  <w:sz w:val="18"/>
                                </w:rPr>
                                <w:t>Πηγή</w:t>
                              </w:r>
                              <w:r w:rsidRPr="007F4129">
                                <w:rPr>
                                  <w:rFonts w:ascii="Arial" w:hAnsi="Arial" w:cs="Arial"/>
                                  <w:color w:val="000000"/>
                                  <w:spacing w:val="-4"/>
                                  <w:sz w:val="18"/>
                                  <w:lang w:val="en-US"/>
                                </w:rPr>
                                <w:t>:</w:t>
                              </w:r>
                              <w:r>
                                <w:rPr>
                                  <w:rFonts w:ascii="Arial" w:hAnsi="Arial" w:cs="Arial"/>
                                  <w:color w:val="000000"/>
                                  <w:spacing w:val="-4"/>
                                  <w:sz w:val="18"/>
                                  <w:lang w:val="en-US"/>
                                </w:rPr>
                                <w:t xml:space="preserve">        </w:t>
                              </w:r>
                              <w:r w:rsidRPr="00AA38C2">
                                <w:rPr>
                                  <w:rFonts w:ascii="Arial" w:hAnsi="Arial" w:cs="Arial"/>
                                  <w:color w:val="000000"/>
                                  <w:spacing w:val="-4"/>
                                  <w:sz w:val="18"/>
                                  <w:lang w:val="en-US"/>
                                </w:rPr>
                                <w:t>CFTC, IMM</w:t>
                              </w:r>
                            </w:p>
                          </w:txbxContent>
                        </wps:txbx>
                        <wps:bodyPr rot="0" vert="horz" wrap="square" lIns="91440" tIns="45720" rIns="91440" bIns="45720" anchor="t" anchorCtr="0" upright="1">
                          <a:noAutofit/>
                        </wps:bodyPr>
                      </wps:wsp>
                      <wps:wsp>
                        <wps:cNvPr id="38" name="Freeform 364"/>
                        <wps:cNvSpPr>
                          <a:spLocks/>
                        </wps:cNvSpPr>
                        <wps:spPr bwMode="auto">
                          <a:xfrm>
                            <a:off x="11460" y="0"/>
                            <a:ext cx="59661"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6889A5A8" w14:textId="77777777" w:rsidR="00776E11" w:rsidRPr="00830BBA" w:rsidRDefault="00776E11" w:rsidP="00776E11">
                              <w:pPr>
                                <w:tabs>
                                  <w:tab w:val="left" w:pos="2410"/>
                                </w:tabs>
                                <w:spacing w:after="0"/>
                                <w:rPr>
                                  <w:rFonts w:ascii="Arial" w:eastAsia="Arial" w:hAnsi="Arial" w:cs="Arial"/>
                                  <w:color w:val="0E3B70"/>
                                  <w:sz w:val="10"/>
                                  <w:szCs w:val="10"/>
                                </w:rPr>
                              </w:pPr>
                            </w:p>
                            <w:p w14:paraId="03A51851" w14:textId="77777777" w:rsidR="00776E11" w:rsidRPr="007F4129" w:rsidRDefault="00776E11" w:rsidP="00776E11">
                              <w:pPr>
                                <w:tabs>
                                  <w:tab w:val="left" w:pos="2410"/>
                                </w:tabs>
                                <w:spacing w:after="0"/>
                                <w:rPr>
                                  <w:rFonts w:ascii="Arial" w:hAnsi="Arial" w:cs="Arial"/>
                                  <w:noProof/>
                                  <w:sz w:val="20"/>
                                  <w:lang w:eastAsia="el-GR"/>
                                </w:rPr>
                              </w:pPr>
                              <w:proofErr w:type="spellStart"/>
                              <w:r w:rsidRPr="00AA38C2">
                                <w:rPr>
                                  <w:rFonts w:ascii="Arial" w:eastAsia="Arial" w:hAnsi="Arial" w:cs="Arial"/>
                                  <w:color w:val="0E3B70"/>
                                  <w:sz w:val="20"/>
                                  <w:szCs w:val="20"/>
                                </w:rPr>
                                <w:t>Specs</w:t>
                              </w:r>
                              <w:proofErr w:type="spellEnd"/>
                              <w:r w:rsidRPr="00AA38C2">
                                <w:rPr>
                                  <w:rFonts w:ascii="Arial" w:eastAsia="Arial" w:hAnsi="Arial" w:cs="Arial"/>
                                  <w:color w:val="0E3B70"/>
                                  <w:sz w:val="20"/>
                                  <w:szCs w:val="20"/>
                                </w:rPr>
                                <w:t xml:space="preserve"> θέσεις για μη εμπορικές/κερδοσκοπικές συναλλαγές</w:t>
                              </w:r>
                            </w:p>
                            <w:p w14:paraId="6FA29FAF" w14:textId="77777777" w:rsidR="00776E11" w:rsidRDefault="00776E11" w:rsidP="00776E11">
                              <w:pPr>
                                <w:tabs>
                                  <w:tab w:val="left" w:pos="2410"/>
                                </w:tabs>
                                <w:spacing w:after="0"/>
                                <w:rPr>
                                  <w:rFonts w:ascii="Arial" w:hAnsi="Arial" w:cs="Arial"/>
                                  <w:sz w:val="20"/>
                                </w:rPr>
                              </w:pPr>
                              <w:r w:rsidRPr="009906A8">
                                <w:rPr>
                                  <w:rFonts w:ascii="Arial" w:hAnsi="Arial" w:cs="Arial"/>
                                  <w:noProof/>
                                  <w:sz w:val="20"/>
                                  <w:lang w:eastAsia="el-GR"/>
                                </w:rPr>
                                <w:drawing>
                                  <wp:inline distT="0" distB="0" distL="0" distR="0" wp14:anchorId="032F6B47" wp14:editId="4D3330B9">
                                    <wp:extent cx="5947410" cy="47277"/>
                                    <wp:effectExtent l="0" t="0" r="0" b="0"/>
                                    <wp:docPr id="53"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4CD4E89F" w14:textId="77777777" w:rsidR="00776E11" w:rsidRPr="005F4DC6" w:rsidRDefault="00776E11" w:rsidP="00776E11">
                              <w:pPr>
                                <w:tabs>
                                  <w:tab w:val="left" w:pos="2410"/>
                                </w:tabs>
                                <w:spacing w:after="0"/>
                                <w:rPr>
                                  <w:rFonts w:ascii="Arial" w:hAnsi="Arial" w:cs="Arial"/>
                                  <w:sz w:val="20"/>
                                </w:rPr>
                              </w:pPr>
                              <w:r w:rsidRPr="004F09D5">
                                <w:rPr>
                                  <w:noProof/>
                                  <w:lang w:eastAsia="el-GR"/>
                                </w:rPr>
                                <w:drawing>
                                  <wp:inline distT="0" distB="0" distL="0" distR="0" wp14:anchorId="3FE11050" wp14:editId="383B9525">
                                    <wp:extent cx="5686425" cy="27051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1142832" id="_x0000_s1050" style="position:absolute;left:0;text-align:left;margin-left:0;margin-top:0;width:568.8pt;height:256.9pt;z-index:-251633664;mso-height-relative:margin" coordsize="711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">
                <v:rect id="Rectangle 24" o:spid="_x0000_s1051"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" fillcolor="#e5e4de" stroked="f">
                  <v:textbox>
                    <w:txbxContent>
                      <w:p w14:paraId="33A4B3BC" w14:textId="77777777" w:rsidR="00776E11" w:rsidRDefault="00776E11" w:rsidP="00776E11">
                        <w:pPr>
                          <w:jc w:val="center"/>
                          <w:rPr>
                            <w:rFonts w:ascii="Arial" w:hAnsi="Arial" w:cs="Arial"/>
                            <w:color w:val="E24C37"/>
                            <w:spacing w:val="-4"/>
                            <w:sz w:val="18"/>
                            <w:lang w:val="en-US"/>
                          </w:rPr>
                        </w:pPr>
                        <w:r w:rsidRPr="00D75593">
                          <w:rPr>
                            <w:rFonts w:ascii="Arial" w:hAnsi="Arial" w:cs="Arial"/>
                            <w:color w:val="E24C37"/>
                            <w:spacing w:val="-4"/>
                            <w:sz w:val="18"/>
                            <w:lang w:val="en-US"/>
                          </w:rPr>
                          <w:br/>
                        </w:r>
                        <w:r w:rsidRPr="000769E0">
                          <w:rPr>
                            <w:rFonts w:ascii="Arial" w:hAnsi="Arial" w:cs="Arial"/>
                            <w:color w:val="FF0000"/>
                            <w:spacing w:val="-4"/>
                            <w:sz w:val="18"/>
                          </w:rPr>
                          <w:t>ΓΡΑΦΗΜΑ</w:t>
                        </w:r>
                        <w:r>
                          <w:rPr>
                            <w:rFonts w:ascii="Arial" w:hAnsi="Arial" w:cs="Arial"/>
                            <w:color w:val="FF0000"/>
                            <w:spacing w:val="-4"/>
                            <w:sz w:val="18"/>
                            <w:lang w:val="en-US"/>
                          </w:rPr>
                          <w:t xml:space="preserve"> 9</w:t>
                        </w:r>
                      </w:p>
                      <w:p w14:paraId="508FF515" w14:textId="77777777" w:rsidR="00776E11" w:rsidRDefault="00776E11" w:rsidP="00776E11">
                        <w:pPr>
                          <w:jc w:val="center"/>
                          <w:rPr>
                            <w:rFonts w:ascii="Arial" w:hAnsi="Arial" w:cs="Arial"/>
                            <w:color w:val="E24C37"/>
                            <w:spacing w:val="-4"/>
                            <w:sz w:val="18"/>
                            <w:lang w:val="en-US"/>
                          </w:rPr>
                        </w:pPr>
                      </w:p>
                      <w:p w14:paraId="3DBA12E7" w14:textId="77777777" w:rsidR="00776E11" w:rsidRDefault="00776E11" w:rsidP="00776E11">
                        <w:pPr>
                          <w:jc w:val="center"/>
                          <w:rPr>
                            <w:rFonts w:ascii="Arial" w:hAnsi="Arial" w:cs="Arial"/>
                            <w:color w:val="E24C37"/>
                            <w:spacing w:val="-4"/>
                            <w:sz w:val="18"/>
                            <w:lang w:val="en-US"/>
                          </w:rPr>
                        </w:pPr>
                      </w:p>
                      <w:p w14:paraId="2673ED74" w14:textId="77777777" w:rsidR="00776E11" w:rsidRDefault="00776E11" w:rsidP="00776E11">
                        <w:pPr>
                          <w:jc w:val="center"/>
                          <w:rPr>
                            <w:rFonts w:ascii="Arial" w:hAnsi="Arial" w:cs="Arial"/>
                            <w:color w:val="E24C37"/>
                            <w:spacing w:val="-4"/>
                            <w:sz w:val="18"/>
                            <w:lang w:val="en-US"/>
                          </w:rPr>
                        </w:pPr>
                      </w:p>
                      <w:p w14:paraId="48694432" w14:textId="77777777" w:rsidR="00776E11" w:rsidRDefault="00776E11" w:rsidP="00776E11">
                        <w:pPr>
                          <w:jc w:val="center"/>
                          <w:rPr>
                            <w:rFonts w:ascii="Arial" w:hAnsi="Arial" w:cs="Arial"/>
                            <w:color w:val="E24C37"/>
                            <w:spacing w:val="-4"/>
                            <w:sz w:val="18"/>
                            <w:lang w:val="en-US"/>
                          </w:rPr>
                        </w:pPr>
                      </w:p>
                      <w:p w14:paraId="096A0FD4" w14:textId="77777777" w:rsidR="00776E11" w:rsidRDefault="00776E11" w:rsidP="00776E11">
                        <w:pPr>
                          <w:jc w:val="center"/>
                          <w:rPr>
                            <w:rFonts w:ascii="Arial" w:hAnsi="Arial" w:cs="Arial"/>
                            <w:color w:val="E24C37"/>
                            <w:spacing w:val="-4"/>
                            <w:sz w:val="18"/>
                            <w:lang w:val="en-US"/>
                          </w:rPr>
                        </w:pPr>
                      </w:p>
                      <w:p w14:paraId="44EDED71" w14:textId="77777777" w:rsidR="00776E11" w:rsidRDefault="00776E11" w:rsidP="00776E11">
                        <w:pPr>
                          <w:jc w:val="center"/>
                          <w:rPr>
                            <w:rFonts w:ascii="Arial" w:hAnsi="Arial" w:cs="Arial"/>
                            <w:color w:val="E24C37"/>
                            <w:spacing w:val="-4"/>
                            <w:sz w:val="18"/>
                            <w:lang w:val="en-US"/>
                          </w:rPr>
                        </w:pPr>
                      </w:p>
                      <w:p w14:paraId="76BACF14" w14:textId="77777777" w:rsidR="00776E11" w:rsidRDefault="00776E11" w:rsidP="00776E11">
                        <w:pPr>
                          <w:jc w:val="center"/>
                          <w:rPr>
                            <w:rFonts w:ascii="Arial" w:hAnsi="Arial" w:cs="Arial"/>
                            <w:color w:val="E24C37"/>
                            <w:spacing w:val="-4"/>
                            <w:sz w:val="18"/>
                            <w:lang w:val="en-US"/>
                          </w:rPr>
                        </w:pPr>
                      </w:p>
                      <w:p w14:paraId="77A739F5" w14:textId="77777777" w:rsidR="00776E11" w:rsidRDefault="00776E11" w:rsidP="00776E11">
                        <w:pPr>
                          <w:jc w:val="center"/>
                          <w:rPr>
                            <w:rFonts w:ascii="Arial" w:hAnsi="Arial" w:cs="Arial"/>
                            <w:color w:val="E24C37"/>
                            <w:spacing w:val="-4"/>
                            <w:sz w:val="18"/>
                            <w:lang w:val="en-US"/>
                          </w:rPr>
                        </w:pPr>
                      </w:p>
                      <w:p w14:paraId="65676A68" w14:textId="77777777" w:rsidR="00776E11" w:rsidRDefault="00776E11" w:rsidP="00776E11">
                        <w:pPr>
                          <w:jc w:val="center"/>
                          <w:rPr>
                            <w:rFonts w:ascii="Arial" w:hAnsi="Arial" w:cs="Arial"/>
                            <w:color w:val="E24C37"/>
                            <w:spacing w:val="-4"/>
                            <w:sz w:val="18"/>
                            <w:lang w:val="en-US"/>
                          </w:rPr>
                        </w:pPr>
                      </w:p>
                      <w:p w14:paraId="4B6A021B" w14:textId="77777777" w:rsidR="00776E11" w:rsidRPr="007F4129" w:rsidRDefault="00776E11" w:rsidP="00776E11">
                        <w:pPr>
                          <w:jc w:val="center"/>
                          <w:rPr>
                            <w:rFonts w:ascii="Arial" w:hAnsi="Arial" w:cs="Arial"/>
                            <w:color w:val="000000"/>
                            <w:spacing w:val="-4"/>
                            <w:sz w:val="18"/>
                            <w:lang w:val="en-US"/>
                          </w:rPr>
                        </w:pPr>
                        <w:r w:rsidRPr="0004158C">
                          <w:rPr>
                            <w:rFonts w:ascii="Arial" w:hAnsi="Arial" w:cs="Arial"/>
                            <w:color w:val="000000"/>
                            <w:spacing w:val="-4"/>
                            <w:sz w:val="18"/>
                          </w:rPr>
                          <w:t>Πηγή</w:t>
                        </w:r>
                        <w:r w:rsidRPr="007F4129">
                          <w:rPr>
                            <w:rFonts w:ascii="Arial" w:hAnsi="Arial" w:cs="Arial"/>
                            <w:color w:val="000000"/>
                            <w:spacing w:val="-4"/>
                            <w:sz w:val="18"/>
                            <w:lang w:val="en-US"/>
                          </w:rPr>
                          <w:t>:</w:t>
                        </w:r>
                        <w:r>
                          <w:rPr>
                            <w:rFonts w:ascii="Arial" w:hAnsi="Arial" w:cs="Arial"/>
                            <w:color w:val="000000"/>
                            <w:spacing w:val="-4"/>
                            <w:sz w:val="18"/>
                            <w:lang w:val="en-US"/>
                          </w:rPr>
                          <w:t xml:space="preserve">        </w:t>
                        </w:r>
                        <w:r w:rsidRPr="00AA38C2">
                          <w:rPr>
                            <w:rFonts w:ascii="Arial" w:hAnsi="Arial" w:cs="Arial"/>
                            <w:color w:val="000000"/>
                            <w:spacing w:val="-4"/>
                            <w:sz w:val="18"/>
                            <w:lang w:val="en-US"/>
                          </w:rPr>
                          <w:t>CFTC, IMM</w:t>
                        </w:r>
                      </w:p>
                    </w:txbxContent>
                  </v:textbox>
                </v:rect>
                <v:shape id="Freeform 364" o:spid="_x0000_s1052" style="position:absolute;left:11460;width:59661;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" adj="-11796480,,5400" path="m9585,l,,,4123r9585,l9585,xe" fillcolor="#e5e4de" stroked="f">
                  <v:stroke joinstyle="miter"/>
                  <v:formulas/>
                  <v:path arrowok="t" o:connecttype="custom" o:connectlocs="37880783,0;0,0;0,16754221;37880783,16754221;37880783,0" o:connectangles="0,0,0,0,0" textboxrect="0,0,9586,4124"/>
                  <v:textbox>
                    <w:txbxContent>
                      <w:p w14:paraId="6889A5A8" w14:textId="77777777" w:rsidR="00776E11" w:rsidRPr="00830BBA" w:rsidRDefault="00776E11" w:rsidP="00776E11">
                        <w:pPr>
                          <w:tabs>
                            <w:tab w:val="left" w:pos="2410"/>
                          </w:tabs>
                          <w:spacing w:after="0"/>
                          <w:rPr>
                            <w:rFonts w:ascii="Arial" w:eastAsia="Arial" w:hAnsi="Arial" w:cs="Arial"/>
                            <w:color w:val="0E3B70"/>
                            <w:sz w:val="10"/>
                            <w:szCs w:val="10"/>
                          </w:rPr>
                        </w:pPr>
                      </w:p>
                      <w:p w14:paraId="03A51851" w14:textId="77777777" w:rsidR="00776E11" w:rsidRPr="007F4129" w:rsidRDefault="00776E11" w:rsidP="00776E11">
                        <w:pPr>
                          <w:tabs>
                            <w:tab w:val="left" w:pos="2410"/>
                          </w:tabs>
                          <w:spacing w:after="0"/>
                          <w:rPr>
                            <w:rFonts w:ascii="Arial" w:hAnsi="Arial" w:cs="Arial"/>
                            <w:noProof/>
                            <w:sz w:val="20"/>
                            <w:lang w:eastAsia="el-GR"/>
                          </w:rPr>
                        </w:pPr>
                        <w:r w:rsidRPr="00AA38C2">
                          <w:rPr>
                            <w:rFonts w:ascii="Arial" w:eastAsia="Arial" w:hAnsi="Arial" w:cs="Arial"/>
                            <w:color w:val="0E3B70"/>
                            <w:sz w:val="20"/>
                            <w:szCs w:val="20"/>
                          </w:rPr>
                          <w:t>Specs θέσεις για μη εμπορικές/κερδοσκοπικές συναλλαγές</w:t>
                        </w:r>
                      </w:p>
                      <w:p w14:paraId="6FA29FAF" w14:textId="77777777" w:rsidR="00776E11" w:rsidRDefault="00776E11" w:rsidP="00776E11">
                        <w:pPr>
                          <w:tabs>
                            <w:tab w:val="left" w:pos="2410"/>
                          </w:tabs>
                          <w:spacing w:after="0"/>
                          <w:rPr>
                            <w:rFonts w:ascii="Arial" w:hAnsi="Arial" w:cs="Arial"/>
                            <w:sz w:val="20"/>
                          </w:rPr>
                        </w:pPr>
                        <w:r w:rsidRPr="009906A8">
                          <w:rPr>
                            <w:rFonts w:ascii="Arial" w:hAnsi="Arial" w:cs="Arial"/>
                            <w:noProof/>
                            <w:sz w:val="20"/>
                            <w:lang w:eastAsia="el-GR"/>
                          </w:rPr>
                          <w:drawing>
                            <wp:inline distT="0" distB="0" distL="0" distR="0" wp14:anchorId="032F6B47" wp14:editId="4D3330B9">
                              <wp:extent cx="5947410" cy="47277"/>
                              <wp:effectExtent l="0" t="0" r="0" b="0"/>
                              <wp:docPr id="53"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4CD4E89F" w14:textId="77777777" w:rsidR="00776E11" w:rsidRPr="005F4DC6" w:rsidRDefault="00776E11" w:rsidP="00776E11">
                        <w:pPr>
                          <w:tabs>
                            <w:tab w:val="left" w:pos="2410"/>
                          </w:tabs>
                          <w:spacing w:after="0"/>
                          <w:rPr>
                            <w:rFonts w:ascii="Arial" w:hAnsi="Arial" w:cs="Arial"/>
                            <w:sz w:val="20"/>
                          </w:rPr>
                        </w:pPr>
                        <w:r w:rsidRPr="004F09D5">
                          <w:rPr>
                            <w:noProof/>
                            <w:lang w:eastAsia="el-GR"/>
                          </w:rPr>
                          <w:drawing>
                            <wp:inline distT="0" distB="0" distL="0" distR="0" wp14:anchorId="3FE11050" wp14:editId="383B9525">
                              <wp:extent cx="5686425" cy="27051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txbxContent>
                  </v:textbox>
                </v:shape>
              </v:group>
            </w:pict>
          </mc:Fallback>
        </mc:AlternateContent>
      </w:r>
    </w:p>
    <w:p w14:paraId="51E52CB3" w14:textId="77777777" w:rsidR="00776E11" w:rsidRDefault="00776E11" w:rsidP="00776E11">
      <w:pPr>
        <w:pStyle w:val="a4"/>
        <w:tabs>
          <w:tab w:val="left" w:pos="11057"/>
        </w:tabs>
        <w:kinsoku w:val="0"/>
        <w:overflowPunct w:val="0"/>
        <w:ind w:left="1758" w:right="227"/>
        <w:jc w:val="both"/>
        <w:rPr>
          <w:b/>
          <w:sz w:val="20"/>
          <w:szCs w:val="20"/>
          <w:lang w:val="el-GR"/>
        </w:rPr>
      </w:pPr>
    </w:p>
    <w:p w14:paraId="5FF0B261" w14:textId="77777777" w:rsidR="00776E11" w:rsidRPr="00FC0851" w:rsidRDefault="00776E11" w:rsidP="00776E11">
      <w:pPr>
        <w:pStyle w:val="a4"/>
        <w:tabs>
          <w:tab w:val="left" w:pos="11057"/>
        </w:tabs>
        <w:kinsoku w:val="0"/>
        <w:overflowPunct w:val="0"/>
        <w:spacing w:before="69"/>
        <w:ind w:left="1780" w:right="146"/>
        <w:rPr>
          <w:lang w:val="el-GR"/>
        </w:rPr>
      </w:pPr>
    </w:p>
    <w:p w14:paraId="2FF82DE6" w14:textId="77777777" w:rsidR="00776E11" w:rsidRDefault="00776E11" w:rsidP="00776E11">
      <w:pPr>
        <w:pStyle w:val="a4"/>
        <w:tabs>
          <w:tab w:val="left" w:pos="11057"/>
        </w:tabs>
        <w:kinsoku w:val="0"/>
        <w:overflowPunct w:val="0"/>
        <w:spacing w:before="69"/>
        <w:ind w:left="1780" w:right="146"/>
        <w:rPr>
          <w:noProof/>
          <w:lang w:val="el-GR" w:eastAsia="el-GR"/>
        </w:rPr>
      </w:pPr>
    </w:p>
    <w:p w14:paraId="5F05914B" w14:textId="77777777" w:rsidR="00776E11" w:rsidRDefault="00776E11" w:rsidP="00776E11">
      <w:pPr>
        <w:pStyle w:val="a4"/>
        <w:tabs>
          <w:tab w:val="left" w:pos="11057"/>
        </w:tabs>
        <w:kinsoku w:val="0"/>
        <w:overflowPunct w:val="0"/>
        <w:spacing w:before="69"/>
        <w:ind w:left="1780" w:right="146"/>
        <w:rPr>
          <w:noProof/>
          <w:lang w:val="el-GR" w:eastAsia="el-GR"/>
        </w:rPr>
      </w:pPr>
    </w:p>
    <w:p w14:paraId="73A3C1AF" w14:textId="77777777" w:rsidR="00776E11" w:rsidRDefault="00776E11" w:rsidP="00776E11">
      <w:pPr>
        <w:pStyle w:val="a4"/>
        <w:tabs>
          <w:tab w:val="left" w:pos="11057"/>
        </w:tabs>
        <w:kinsoku w:val="0"/>
        <w:overflowPunct w:val="0"/>
        <w:spacing w:before="69"/>
        <w:ind w:left="1780" w:right="146"/>
        <w:rPr>
          <w:noProof/>
          <w:lang w:val="el-GR" w:eastAsia="el-GR"/>
        </w:rPr>
      </w:pPr>
    </w:p>
    <w:p w14:paraId="6C4A55CD" w14:textId="77777777" w:rsidR="00776E11" w:rsidRDefault="00776E11" w:rsidP="00776E11">
      <w:pPr>
        <w:pStyle w:val="a4"/>
        <w:tabs>
          <w:tab w:val="left" w:pos="11057"/>
        </w:tabs>
        <w:kinsoku w:val="0"/>
        <w:overflowPunct w:val="0"/>
        <w:spacing w:before="69"/>
        <w:ind w:left="1780" w:right="146"/>
        <w:rPr>
          <w:noProof/>
          <w:lang w:val="el-GR" w:eastAsia="el-GR"/>
        </w:rPr>
      </w:pPr>
    </w:p>
    <w:p w14:paraId="7ACA83CB" w14:textId="77777777" w:rsidR="00776E11" w:rsidRDefault="00776E11" w:rsidP="00776E11">
      <w:pPr>
        <w:pStyle w:val="a4"/>
        <w:tabs>
          <w:tab w:val="left" w:pos="11057"/>
        </w:tabs>
        <w:kinsoku w:val="0"/>
        <w:overflowPunct w:val="0"/>
        <w:spacing w:before="69"/>
        <w:ind w:left="1780" w:right="146"/>
        <w:rPr>
          <w:noProof/>
          <w:lang w:val="el-GR" w:eastAsia="el-GR"/>
        </w:rPr>
      </w:pPr>
    </w:p>
    <w:p w14:paraId="462EF95C" w14:textId="77777777" w:rsidR="00776E11" w:rsidRDefault="00776E11" w:rsidP="00776E11">
      <w:pPr>
        <w:pStyle w:val="a4"/>
        <w:tabs>
          <w:tab w:val="left" w:pos="11057"/>
        </w:tabs>
        <w:kinsoku w:val="0"/>
        <w:overflowPunct w:val="0"/>
        <w:spacing w:before="69"/>
        <w:ind w:left="1780" w:right="146"/>
        <w:rPr>
          <w:noProof/>
          <w:lang w:val="el-GR" w:eastAsia="el-GR"/>
        </w:rPr>
      </w:pPr>
    </w:p>
    <w:p w14:paraId="13210695" w14:textId="77777777" w:rsidR="00776E11" w:rsidRDefault="00776E11" w:rsidP="00776E11">
      <w:pPr>
        <w:pStyle w:val="a4"/>
        <w:tabs>
          <w:tab w:val="left" w:pos="11057"/>
        </w:tabs>
        <w:kinsoku w:val="0"/>
        <w:overflowPunct w:val="0"/>
        <w:spacing w:before="69"/>
        <w:ind w:left="1780" w:right="146"/>
        <w:rPr>
          <w:noProof/>
          <w:lang w:val="el-GR" w:eastAsia="el-GR"/>
        </w:rPr>
      </w:pPr>
    </w:p>
    <w:p w14:paraId="75063288" w14:textId="77777777" w:rsidR="00776E11" w:rsidRDefault="00776E11" w:rsidP="00776E11">
      <w:pPr>
        <w:pStyle w:val="a4"/>
        <w:tabs>
          <w:tab w:val="left" w:pos="11057"/>
        </w:tabs>
        <w:kinsoku w:val="0"/>
        <w:overflowPunct w:val="0"/>
        <w:spacing w:before="69"/>
        <w:ind w:left="1780" w:right="146"/>
        <w:rPr>
          <w:noProof/>
          <w:lang w:val="el-GR" w:eastAsia="el-GR"/>
        </w:rPr>
      </w:pPr>
    </w:p>
    <w:p w14:paraId="09CD7249" w14:textId="77777777" w:rsidR="00776E11" w:rsidRDefault="00776E11" w:rsidP="00776E11">
      <w:pPr>
        <w:pStyle w:val="a4"/>
        <w:tabs>
          <w:tab w:val="left" w:pos="11057"/>
        </w:tabs>
        <w:kinsoku w:val="0"/>
        <w:overflowPunct w:val="0"/>
        <w:spacing w:before="69"/>
        <w:ind w:left="1780" w:right="146"/>
        <w:rPr>
          <w:noProof/>
          <w:lang w:val="el-GR" w:eastAsia="el-GR"/>
        </w:rPr>
      </w:pPr>
    </w:p>
    <w:p w14:paraId="29A61D22" w14:textId="77777777" w:rsidR="00776E11" w:rsidRDefault="00776E11" w:rsidP="00776E11">
      <w:pPr>
        <w:pStyle w:val="a4"/>
        <w:tabs>
          <w:tab w:val="left" w:pos="11057"/>
        </w:tabs>
        <w:kinsoku w:val="0"/>
        <w:overflowPunct w:val="0"/>
        <w:spacing w:before="69"/>
        <w:ind w:left="1780" w:right="146"/>
        <w:rPr>
          <w:noProof/>
          <w:lang w:val="el-GR" w:eastAsia="el-GR"/>
        </w:rPr>
      </w:pPr>
    </w:p>
    <w:p w14:paraId="64B8672F" w14:textId="77777777" w:rsidR="00776E11" w:rsidRDefault="00776E11" w:rsidP="00776E11">
      <w:pPr>
        <w:pStyle w:val="a4"/>
        <w:tabs>
          <w:tab w:val="left" w:pos="11057"/>
        </w:tabs>
        <w:kinsoku w:val="0"/>
        <w:overflowPunct w:val="0"/>
        <w:spacing w:before="69"/>
        <w:ind w:left="1780" w:right="146"/>
        <w:rPr>
          <w:noProof/>
          <w:lang w:val="el-GR" w:eastAsia="el-GR"/>
        </w:rPr>
      </w:pPr>
    </w:p>
    <w:p w14:paraId="115B5B01" w14:textId="77777777" w:rsidR="00776E11" w:rsidRDefault="00776E11" w:rsidP="00776E11">
      <w:pPr>
        <w:pStyle w:val="a4"/>
        <w:tabs>
          <w:tab w:val="left" w:pos="11057"/>
        </w:tabs>
        <w:kinsoku w:val="0"/>
        <w:overflowPunct w:val="0"/>
        <w:spacing w:before="69"/>
        <w:ind w:left="1780" w:right="146"/>
        <w:rPr>
          <w:noProof/>
          <w:lang w:val="el-GR" w:eastAsia="el-GR"/>
        </w:rPr>
      </w:pPr>
    </w:p>
    <w:p w14:paraId="78BF0289" w14:textId="77777777" w:rsidR="00776E11" w:rsidRDefault="00776E11" w:rsidP="00776E11">
      <w:pPr>
        <w:pStyle w:val="a4"/>
        <w:tabs>
          <w:tab w:val="left" w:pos="11057"/>
        </w:tabs>
        <w:kinsoku w:val="0"/>
        <w:overflowPunct w:val="0"/>
        <w:spacing w:before="69"/>
        <w:ind w:left="1780" w:right="146"/>
        <w:rPr>
          <w:lang w:val="el-GR"/>
        </w:rPr>
      </w:pPr>
    </w:p>
    <w:p w14:paraId="52D1456B" w14:textId="77777777" w:rsidR="00776E11" w:rsidRDefault="00776E11" w:rsidP="00776E11">
      <w:pPr>
        <w:pStyle w:val="a4"/>
        <w:tabs>
          <w:tab w:val="left" w:pos="11057"/>
        </w:tabs>
        <w:kinsoku w:val="0"/>
        <w:overflowPunct w:val="0"/>
        <w:spacing w:before="69"/>
        <w:ind w:left="1780" w:right="146"/>
        <w:rPr>
          <w:lang w:val="el-GR"/>
        </w:rPr>
      </w:pPr>
    </w:p>
    <w:p w14:paraId="4160F941" w14:textId="77777777" w:rsidR="00776E11" w:rsidRDefault="00776E11" w:rsidP="00776E11">
      <w:pPr>
        <w:pStyle w:val="a4"/>
        <w:tabs>
          <w:tab w:val="left" w:pos="11057"/>
        </w:tabs>
        <w:kinsoku w:val="0"/>
        <w:overflowPunct w:val="0"/>
        <w:spacing w:before="69"/>
        <w:ind w:left="1780" w:right="146"/>
        <w:rPr>
          <w:lang w:val="el-GR"/>
        </w:rPr>
      </w:pPr>
    </w:p>
    <w:p w14:paraId="40471538" w14:textId="77777777" w:rsidR="00776E11" w:rsidRPr="00FC0851" w:rsidRDefault="00776E11" w:rsidP="00776E11">
      <w:pPr>
        <w:pStyle w:val="a4"/>
        <w:tabs>
          <w:tab w:val="left" w:pos="11057"/>
        </w:tabs>
        <w:kinsoku w:val="0"/>
        <w:overflowPunct w:val="0"/>
        <w:spacing w:before="69"/>
        <w:ind w:left="1780" w:right="146"/>
        <w:rPr>
          <w:lang w:val="el-GR"/>
        </w:rPr>
      </w:pPr>
    </w:p>
    <w:p w14:paraId="36895D29" w14:textId="77777777" w:rsidR="00776E11" w:rsidRPr="00F3293D" w:rsidRDefault="00776E11" w:rsidP="00776E11">
      <w:pPr>
        <w:pStyle w:val="a4"/>
        <w:kinsoku w:val="0"/>
        <w:overflowPunct w:val="0"/>
        <w:ind w:left="1758" w:right="227"/>
        <w:jc w:val="both"/>
        <w:rPr>
          <w:b/>
          <w:sz w:val="20"/>
          <w:szCs w:val="20"/>
          <w:lang w:val="el-GR"/>
        </w:rPr>
      </w:pPr>
      <w:r w:rsidRPr="00F3293D">
        <w:rPr>
          <w:b/>
          <w:sz w:val="20"/>
          <w:szCs w:val="20"/>
          <w:lang w:val="el-GR"/>
        </w:rPr>
        <w:t xml:space="preserve">Ευρώ (EUR/USD) ► </w:t>
      </w:r>
      <w:r w:rsidRPr="00F3293D">
        <w:rPr>
          <w:bCs/>
          <w:sz w:val="20"/>
          <w:szCs w:val="20"/>
          <w:lang w:val="el-GR"/>
        </w:rPr>
        <w:t>Η ισοτιμία του ευρώ με το δολάριο, στις 17 Μαΐου, στην Ευρώπη, διαμορφωνόταν περί τα 1,2153 δολάρια, με αποτέλεσμα το ευρώ να σημειώνει, από τις αρχές του έτους, απώλειες έναντι του δολαρίου (0,5%), ενώ διαπραγματευόταν υψηλότερα κατά 17,5%, συγκριτικά με το χαμηλό που είχε καταγράψει, στις 3 Ιανουαρίου 2017 (USD 1,0342).</w:t>
      </w:r>
    </w:p>
    <w:p w14:paraId="4EC7C197" w14:textId="77777777" w:rsidR="00776E11" w:rsidRPr="00F3293D" w:rsidRDefault="00776E11" w:rsidP="00776E11">
      <w:pPr>
        <w:pStyle w:val="a4"/>
        <w:kinsoku w:val="0"/>
        <w:overflowPunct w:val="0"/>
        <w:ind w:left="1758" w:right="227"/>
        <w:jc w:val="both"/>
        <w:rPr>
          <w:sz w:val="20"/>
          <w:szCs w:val="20"/>
          <w:lang w:val="el-GR"/>
        </w:rPr>
      </w:pPr>
    </w:p>
    <w:p w14:paraId="3E4C7B93" w14:textId="77777777" w:rsidR="00875DF0" w:rsidRPr="00F3293D" w:rsidRDefault="00875DF0" w:rsidP="00875DF0">
      <w:pPr>
        <w:pStyle w:val="a4"/>
        <w:kinsoku w:val="0"/>
        <w:overflowPunct w:val="0"/>
        <w:ind w:left="1758" w:right="227"/>
        <w:jc w:val="both"/>
        <w:rPr>
          <w:sz w:val="20"/>
          <w:szCs w:val="20"/>
          <w:lang w:val="el-GR"/>
        </w:rPr>
      </w:pPr>
      <w:r>
        <w:rPr>
          <w:sz w:val="20"/>
          <w:szCs w:val="20"/>
          <w:lang w:val="el-GR"/>
        </w:rPr>
        <w:t>Οριακά</w:t>
      </w:r>
      <w:r w:rsidRPr="00F3293D">
        <w:rPr>
          <w:sz w:val="20"/>
          <w:szCs w:val="20"/>
          <w:lang w:val="el-GR"/>
        </w:rPr>
        <w:t xml:space="preserve"> κέρδη καταγράφει το ευρώ, </w:t>
      </w:r>
      <w:r>
        <w:rPr>
          <w:sz w:val="20"/>
          <w:szCs w:val="20"/>
          <w:lang w:val="el-GR"/>
        </w:rPr>
        <w:t>επιτυγχά</w:t>
      </w:r>
      <w:r w:rsidRPr="00F3293D">
        <w:rPr>
          <w:sz w:val="20"/>
          <w:szCs w:val="20"/>
          <w:lang w:val="el-GR"/>
        </w:rPr>
        <w:t xml:space="preserve">νοντας, ωστόσο, να αντιστρέψει τις αρχικές ζημιές έναντι του δολαρίου. Η εισαγωγή περιοριστικών μέτρων σε ασιατικές χώρες που βρίσκονται αντιμέτωπες με έξαρση κρουσμάτων </w:t>
      </w:r>
      <w:r w:rsidRPr="00F3293D">
        <w:rPr>
          <w:sz w:val="20"/>
          <w:szCs w:val="20"/>
        </w:rPr>
        <w:t>Covid</w:t>
      </w:r>
      <w:r w:rsidRPr="00F3293D">
        <w:rPr>
          <w:sz w:val="20"/>
          <w:szCs w:val="20"/>
          <w:lang w:val="el-GR"/>
        </w:rPr>
        <w:t xml:space="preserve">-19 (Σιγκαπούρη, </w:t>
      </w:r>
      <w:proofErr w:type="spellStart"/>
      <w:r w:rsidRPr="00F3293D">
        <w:rPr>
          <w:sz w:val="20"/>
          <w:szCs w:val="20"/>
          <w:lang w:val="el-GR"/>
        </w:rPr>
        <w:t>Ταϊβάν</w:t>
      </w:r>
      <w:proofErr w:type="spellEnd"/>
      <w:r w:rsidRPr="00F3293D">
        <w:rPr>
          <w:sz w:val="20"/>
          <w:szCs w:val="20"/>
          <w:lang w:val="el-GR"/>
        </w:rPr>
        <w:t xml:space="preserve">) και η ανακοίνωση μέτριων οικονομικών αποτελεσμάτων στην Κίνα αύξησαν αρχικά τη ζήτηση για το αμερικανικό νόμισμα, ωστόσο στη συνέχεια το ευρώ ανέκαμψε. Το περιβάλλον για το κοινό νόμισμα διατηρείται θετικό, τροφοδοτούμενο από την επιτάχυνση των προγραμμάτων εμβολιασμού και τη σταδιακή ομαλοποίηση της οικονομικής δραστηριότητας στην Ευρωζώνη. Το ενδιαφέρον, την τρέχουσα εβδομάδα, στρέφεται στις αρχικές εκτιμήσεις, για τον Μάιο, της </w:t>
      </w:r>
      <w:r w:rsidRPr="00F3293D">
        <w:rPr>
          <w:sz w:val="20"/>
          <w:szCs w:val="20"/>
        </w:rPr>
        <w:t>IHS</w:t>
      </w:r>
      <w:r w:rsidRPr="00F3293D">
        <w:rPr>
          <w:sz w:val="20"/>
          <w:szCs w:val="20"/>
          <w:lang w:val="el-GR"/>
        </w:rPr>
        <w:t xml:space="preserve"> </w:t>
      </w:r>
      <w:r w:rsidRPr="00F3293D">
        <w:rPr>
          <w:sz w:val="20"/>
          <w:szCs w:val="20"/>
        </w:rPr>
        <w:t>Markit</w:t>
      </w:r>
      <w:r w:rsidRPr="00F3293D">
        <w:rPr>
          <w:sz w:val="20"/>
          <w:szCs w:val="20"/>
          <w:lang w:val="el-GR"/>
        </w:rPr>
        <w:t xml:space="preserve"> τόσο για το σύνθετο δείκτη </w:t>
      </w:r>
      <w:r w:rsidRPr="00F3293D">
        <w:rPr>
          <w:sz w:val="20"/>
          <w:szCs w:val="20"/>
        </w:rPr>
        <w:t>PMI</w:t>
      </w:r>
      <w:r w:rsidRPr="00F3293D">
        <w:rPr>
          <w:sz w:val="20"/>
          <w:szCs w:val="20"/>
          <w:lang w:val="el-GR"/>
        </w:rPr>
        <w:t xml:space="preserve"> της Ευρωζώνης, όσο και </w:t>
      </w:r>
      <w:r>
        <w:rPr>
          <w:sz w:val="20"/>
          <w:szCs w:val="20"/>
          <w:lang w:val="el-GR"/>
        </w:rPr>
        <w:t xml:space="preserve">για </w:t>
      </w:r>
      <w:r w:rsidRPr="00F3293D">
        <w:rPr>
          <w:sz w:val="20"/>
          <w:szCs w:val="20"/>
          <w:lang w:val="el-GR"/>
        </w:rPr>
        <w:t>τους επιμέρους δείκτες μεταποίησης και υπηρεσιών. Οι συμμετέχοντες στις αγορές αναμένουν ισχυρές επιδόσεις των συγκεκριμένων πρόδρομων δεικτών, επιβεβαιώνοντας την αναπτυξιακή τροχιά στην οποία έχει εισέλθει η οικονομία της Ευρωζώνης. Όσον αφορά στις ΗΠΑ, με ενδιαφέρον αναμένεται η δημοσιοποίηση των πρακτικών της τελευταίας συνεδρίασης της Ομοσπονδιακής Τράπεζας (</w:t>
      </w:r>
      <w:r w:rsidRPr="00F3293D">
        <w:rPr>
          <w:sz w:val="20"/>
          <w:szCs w:val="20"/>
        </w:rPr>
        <w:t>Fed</w:t>
      </w:r>
      <w:r w:rsidRPr="00F3293D">
        <w:rPr>
          <w:sz w:val="20"/>
          <w:szCs w:val="20"/>
          <w:lang w:val="el-GR"/>
        </w:rPr>
        <w:t>) και ιδιαίτερα η προσέγγισή της στο ζήτημα της σημαντικής αύξησης του πληθωρισμού.</w:t>
      </w:r>
    </w:p>
    <w:p w14:paraId="114EB8C0" w14:textId="77777777" w:rsidR="00776E11" w:rsidRPr="00F3293D" w:rsidRDefault="00776E11" w:rsidP="00776E11">
      <w:pPr>
        <w:pStyle w:val="a4"/>
        <w:kinsoku w:val="0"/>
        <w:overflowPunct w:val="0"/>
        <w:ind w:right="227"/>
        <w:jc w:val="both"/>
        <w:rPr>
          <w:sz w:val="20"/>
          <w:szCs w:val="20"/>
          <w:lang w:val="el-GR"/>
        </w:rPr>
      </w:pPr>
      <w:r w:rsidRPr="00F3293D">
        <w:rPr>
          <w:sz w:val="20"/>
          <w:szCs w:val="20"/>
          <w:lang w:val="el-GR"/>
        </w:rPr>
        <w:t xml:space="preserve">  </w:t>
      </w:r>
    </w:p>
    <w:p w14:paraId="14124E15" w14:textId="77777777" w:rsidR="00776E11" w:rsidRPr="00F3293D" w:rsidRDefault="00776E11" w:rsidP="00776E11">
      <w:pPr>
        <w:pStyle w:val="a4"/>
        <w:kinsoku w:val="0"/>
        <w:overflowPunct w:val="0"/>
        <w:ind w:left="1758" w:right="227"/>
        <w:jc w:val="both"/>
        <w:rPr>
          <w:sz w:val="20"/>
          <w:szCs w:val="20"/>
          <w:lang w:val="el-GR"/>
        </w:rPr>
      </w:pPr>
      <w:r w:rsidRPr="00F3293D">
        <w:rPr>
          <w:b/>
          <w:sz w:val="20"/>
          <w:szCs w:val="20"/>
          <w:lang w:val="el-GR"/>
        </w:rPr>
        <w:t>Ελβετικό Φράγκο (CHF) ►</w:t>
      </w:r>
      <w:r w:rsidRPr="00F3293D">
        <w:rPr>
          <w:sz w:val="20"/>
          <w:szCs w:val="20"/>
          <w:lang w:val="el-GR"/>
        </w:rPr>
        <w:t xml:space="preserve"> Το ευρώ καταγράφει κέρδη έναντι του φράγκου, κινούμενο στην περιοχή των 1,09747 φράγκων (17.5.2021). Από τις αρχές του έτους, το ευρώ σημειώνει κέρδη έναντι του φράγκου, της τάξης του 1,5%.</w:t>
      </w:r>
    </w:p>
    <w:p w14:paraId="1D4A352D" w14:textId="77777777" w:rsidR="00776E11" w:rsidRPr="00F3293D" w:rsidRDefault="00776E11" w:rsidP="00776E11">
      <w:pPr>
        <w:pStyle w:val="a4"/>
        <w:kinsoku w:val="0"/>
        <w:overflowPunct w:val="0"/>
        <w:ind w:left="1758" w:right="227"/>
        <w:jc w:val="both"/>
        <w:rPr>
          <w:sz w:val="20"/>
          <w:szCs w:val="20"/>
          <w:lang w:val="el-GR"/>
        </w:rPr>
      </w:pPr>
    </w:p>
    <w:p w14:paraId="6A40D61C" w14:textId="77777777" w:rsidR="00776E11" w:rsidRDefault="00776E11" w:rsidP="00776E11">
      <w:pPr>
        <w:pStyle w:val="a4"/>
        <w:kinsoku w:val="0"/>
        <w:overflowPunct w:val="0"/>
        <w:ind w:left="1758" w:right="227"/>
        <w:jc w:val="both"/>
        <w:rPr>
          <w:sz w:val="20"/>
          <w:szCs w:val="20"/>
          <w:lang w:val="el-GR"/>
        </w:rPr>
      </w:pPr>
    </w:p>
    <w:p w14:paraId="42E6C601" w14:textId="09B11A0B" w:rsidR="00776E11" w:rsidRPr="00F3293D" w:rsidRDefault="00776E11" w:rsidP="00776E11">
      <w:pPr>
        <w:pStyle w:val="a4"/>
        <w:kinsoku w:val="0"/>
        <w:overflowPunct w:val="0"/>
        <w:ind w:left="1758" w:right="227"/>
        <w:jc w:val="both"/>
        <w:rPr>
          <w:sz w:val="20"/>
          <w:szCs w:val="20"/>
          <w:lang w:val="el-GR"/>
        </w:rPr>
      </w:pPr>
      <w:r w:rsidRPr="00F3293D">
        <w:rPr>
          <w:sz w:val="20"/>
          <w:szCs w:val="20"/>
          <w:lang w:val="el-GR"/>
        </w:rPr>
        <w:lastRenderedPageBreak/>
        <w:t>Βάσει των δημοσιευθέντων νομισματικών στοιχείων της Κεντρικής Τράπεζας της Ελβετίας (SNB), την προηγούμενη εβδομάδα, πιθανολογείται ότι δεν υπήρξε παρέμβασή της στην αγορά συναλλάγματος για αποτροπή ενίσχυσης του φράγκου. Το ποσό των μετρητών που οι εμπορικές τράπεζες της Ελβετίας είχαν καταθέσει στην SNB αυξήθηκε στα 707,8 δισ. φράγκα, για την εβδομάδα που έληξε στις 14 Μαΐου, από 705 δισ. φράγκα, για την εβδομάδα μέχρι και τις 7 Μαΐου.</w:t>
      </w:r>
    </w:p>
    <w:p w14:paraId="2A46F938" w14:textId="77777777" w:rsidR="00776E11" w:rsidRPr="00F3293D" w:rsidRDefault="00776E11" w:rsidP="00776E11">
      <w:pPr>
        <w:pStyle w:val="a4"/>
        <w:kinsoku w:val="0"/>
        <w:overflowPunct w:val="0"/>
        <w:ind w:left="1758" w:right="227"/>
        <w:jc w:val="both"/>
        <w:rPr>
          <w:sz w:val="20"/>
          <w:szCs w:val="20"/>
          <w:lang w:val="el-GR"/>
        </w:rPr>
      </w:pPr>
    </w:p>
    <w:p w14:paraId="7FD39F8C" w14:textId="77777777" w:rsidR="00776E11" w:rsidRPr="00F3293D" w:rsidRDefault="00776E11" w:rsidP="00776E11">
      <w:pPr>
        <w:pStyle w:val="a4"/>
        <w:kinsoku w:val="0"/>
        <w:overflowPunct w:val="0"/>
        <w:ind w:left="1758" w:right="227"/>
        <w:jc w:val="both"/>
        <w:rPr>
          <w:sz w:val="20"/>
          <w:szCs w:val="20"/>
          <w:lang w:val="el-GR"/>
        </w:rPr>
      </w:pPr>
      <w:r w:rsidRPr="00F3293D">
        <w:rPr>
          <w:b/>
          <w:sz w:val="20"/>
          <w:szCs w:val="20"/>
          <w:lang w:val="el-GR"/>
        </w:rPr>
        <w:t>Στερλίνα (GBP) ►</w:t>
      </w:r>
      <w:r w:rsidRPr="00F3293D">
        <w:rPr>
          <w:sz w:val="20"/>
          <w:szCs w:val="20"/>
          <w:lang w:val="el-GR"/>
        </w:rPr>
        <w:t xml:space="preserve"> Η στερλίνα, στις 17 Μαΐου, εμφάνιζε θετική εικόνα, καταγράφοντας κέρδη τόσο έναντι του ευρώ (0,85945 GBP/EUR), όσο και έναντι του δολαρίου ΗΠΑ (1,4139 USD/GBP). Σημειώνεται ότι, από τις αρχές του έτους, η στερλίνα καταγράφει κέρδη κατά 3,8% έναντι του ευρώ και κατά 3,4% έναντι του δολαρίου.</w:t>
      </w:r>
    </w:p>
    <w:p w14:paraId="749CC5A0" w14:textId="77777777" w:rsidR="00776E11" w:rsidRPr="00F3293D" w:rsidRDefault="00776E11" w:rsidP="00776E11">
      <w:pPr>
        <w:pStyle w:val="a4"/>
        <w:kinsoku w:val="0"/>
        <w:overflowPunct w:val="0"/>
        <w:ind w:left="1758" w:right="227"/>
        <w:jc w:val="both"/>
        <w:rPr>
          <w:sz w:val="20"/>
          <w:szCs w:val="20"/>
          <w:lang w:val="el-GR"/>
        </w:rPr>
      </w:pPr>
    </w:p>
    <w:p w14:paraId="075CDC8B" w14:textId="77777777" w:rsidR="00875DF0" w:rsidRDefault="00875DF0" w:rsidP="00875DF0">
      <w:pPr>
        <w:pStyle w:val="a4"/>
        <w:kinsoku w:val="0"/>
        <w:overflowPunct w:val="0"/>
        <w:ind w:left="1758" w:right="227"/>
        <w:jc w:val="both"/>
        <w:rPr>
          <w:sz w:val="20"/>
          <w:szCs w:val="20"/>
          <w:lang w:val="el-GR"/>
        </w:rPr>
      </w:pPr>
      <w:r w:rsidRPr="00F3293D">
        <w:rPr>
          <w:sz w:val="20"/>
          <w:szCs w:val="20"/>
          <w:lang w:val="el-GR"/>
        </w:rPr>
        <w:t xml:space="preserve">Ενισχύεται η στερλίνα έναντι των δύο νομισμάτων, στον απόηχο της νέας χαλάρωσης των περιοριστικών μέτρων στο Ηνωμένο Βασίλειο. Συγκεκριμένα, μεταξύ άλλων, από τις 17 Μαΐου, εστιατόρια, καφετέριες και μπαρ θα μπορούν να παρέχουν τις υπηρεσίες τους και σε εσωτερικούς χώρους, ενώ επιτρέπονται οι διεθνείς ταξιδιωτικές μετακινήσεις. Ο ταχύς ρυθμός εμβολιασμού του πληθυσμού στο Ηνωμένο Βασίλειο έχει επιτρέψει τη χαλάρωση των περιοριστικών μέτρων νωρίτερα των εκτιμήσεων, γεγονός που αναθεωρεί </w:t>
      </w:r>
      <w:r>
        <w:rPr>
          <w:sz w:val="20"/>
          <w:szCs w:val="20"/>
          <w:lang w:val="el-GR"/>
        </w:rPr>
        <w:t xml:space="preserve">επί τα </w:t>
      </w:r>
      <w:proofErr w:type="spellStart"/>
      <w:r>
        <w:rPr>
          <w:sz w:val="20"/>
          <w:szCs w:val="20"/>
          <w:lang w:val="el-GR"/>
        </w:rPr>
        <w:t>βελτίω</w:t>
      </w:r>
      <w:proofErr w:type="spellEnd"/>
      <w:r w:rsidRPr="00F3293D">
        <w:rPr>
          <w:sz w:val="20"/>
          <w:szCs w:val="20"/>
          <w:lang w:val="el-GR"/>
        </w:rPr>
        <w:t xml:space="preserve"> τις </w:t>
      </w:r>
      <w:r>
        <w:rPr>
          <w:sz w:val="20"/>
          <w:szCs w:val="20"/>
          <w:lang w:val="el-GR"/>
        </w:rPr>
        <w:t>προβλέψεις</w:t>
      </w:r>
      <w:r w:rsidRPr="00F3293D">
        <w:rPr>
          <w:sz w:val="20"/>
          <w:szCs w:val="20"/>
          <w:lang w:val="el-GR"/>
        </w:rPr>
        <w:t xml:space="preserve"> για την ανάκαμψη της οικονομίας. Υπενθυμίζεται ότι η Κεντρική Τράπεζα της Αγγλίας προβλέπει αύξηση του ΑΕΠ κατά 7,3%, το 2021, έναντι </w:t>
      </w:r>
      <w:r>
        <w:rPr>
          <w:sz w:val="20"/>
          <w:szCs w:val="20"/>
          <w:lang w:val="el-GR"/>
        </w:rPr>
        <w:t xml:space="preserve">της </w:t>
      </w:r>
      <w:r w:rsidRPr="00F3293D">
        <w:rPr>
          <w:sz w:val="20"/>
          <w:szCs w:val="20"/>
          <w:lang w:val="el-GR"/>
        </w:rPr>
        <w:t>πρόβλεψης</w:t>
      </w:r>
      <w:r>
        <w:rPr>
          <w:sz w:val="20"/>
          <w:szCs w:val="20"/>
          <w:lang w:val="el-GR"/>
        </w:rPr>
        <w:t xml:space="preserve"> του Φεβρουαρίου</w:t>
      </w:r>
      <w:r w:rsidRPr="00F3293D">
        <w:rPr>
          <w:sz w:val="20"/>
          <w:szCs w:val="20"/>
          <w:lang w:val="el-GR"/>
        </w:rPr>
        <w:t xml:space="preserve"> για αύξηση κατά 5%, εξέλιξη που εφόσον επιβεβαιωθεί θα αποτελεί τη μεγαλύτερη ετήσια αύξηση του ΑΕΠ από τον Β’ Παγκόσμιο Πόλεμο.</w:t>
      </w:r>
    </w:p>
    <w:p w14:paraId="43F1E8B1" w14:textId="5A3040E7" w:rsidR="00776E11" w:rsidRDefault="00776E11" w:rsidP="00776E11">
      <w:pPr>
        <w:pStyle w:val="a4"/>
        <w:kinsoku w:val="0"/>
        <w:overflowPunct w:val="0"/>
        <w:ind w:left="1758" w:right="227"/>
        <w:jc w:val="both"/>
        <w:rPr>
          <w:sz w:val="20"/>
          <w:szCs w:val="20"/>
          <w:lang w:val="el-GR"/>
        </w:rPr>
      </w:pPr>
    </w:p>
    <w:p w14:paraId="0836C4F3" w14:textId="77777777" w:rsidR="00776E11" w:rsidRPr="00F3293D" w:rsidRDefault="00776E11" w:rsidP="00776E11">
      <w:pPr>
        <w:pStyle w:val="a4"/>
        <w:kinsoku w:val="0"/>
        <w:overflowPunct w:val="0"/>
        <w:ind w:left="1758" w:right="227"/>
        <w:jc w:val="both"/>
        <w:rPr>
          <w:sz w:val="20"/>
          <w:szCs w:val="20"/>
          <w:lang w:val="el-GR"/>
        </w:rPr>
      </w:pPr>
    </w:p>
    <w:p w14:paraId="3CEF5E78" w14:textId="77777777" w:rsidR="00776E11" w:rsidRPr="00F3293D" w:rsidRDefault="00776E11" w:rsidP="00776E11">
      <w:pPr>
        <w:pStyle w:val="a4"/>
        <w:kinsoku w:val="0"/>
        <w:overflowPunct w:val="0"/>
        <w:ind w:right="227"/>
        <w:jc w:val="both"/>
        <w:rPr>
          <w:sz w:val="20"/>
          <w:szCs w:val="20"/>
          <w:lang w:val="el-GR"/>
        </w:rPr>
      </w:pPr>
    </w:p>
    <w:p w14:paraId="4607F643" w14:textId="77777777" w:rsidR="00776E11" w:rsidRPr="00F3293D" w:rsidRDefault="00776E11" w:rsidP="00776E11">
      <w:pPr>
        <w:pStyle w:val="1"/>
        <w:pBdr>
          <w:top w:val="single" w:sz="8" w:space="0" w:color="00B0F0"/>
          <w:bottom w:val="single" w:sz="8" w:space="1" w:color="00B0F0"/>
        </w:pBdr>
        <w:tabs>
          <w:tab w:val="left" w:pos="11057"/>
        </w:tabs>
        <w:kinsoku w:val="0"/>
        <w:overflowPunct w:val="0"/>
        <w:spacing w:before="0"/>
        <w:ind w:left="1758" w:right="227"/>
        <w:jc w:val="both"/>
        <w:rPr>
          <w:color w:val="63A1AA"/>
        </w:rPr>
      </w:pPr>
      <w:r w:rsidRPr="00F3293D">
        <w:rPr>
          <w:color w:val="63A1AA"/>
        </w:rPr>
        <w:t>Αγορές ομολόγων – Χαρτοφυλάκιο κρατικών ομολόγων Ευρωπαϊκής Κεντρικής Τράπεζας (ΕΚΤ)</w:t>
      </w:r>
    </w:p>
    <w:p w14:paraId="3A7F4BEC" w14:textId="77777777" w:rsidR="00776E11" w:rsidRPr="00F3293D" w:rsidRDefault="00776E11" w:rsidP="00776E11">
      <w:pPr>
        <w:pStyle w:val="a4"/>
        <w:tabs>
          <w:tab w:val="left" w:pos="1780"/>
        </w:tabs>
        <w:kinsoku w:val="0"/>
        <w:overflowPunct w:val="0"/>
        <w:ind w:left="1758" w:right="227"/>
        <w:jc w:val="both"/>
        <w:rPr>
          <w:sz w:val="20"/>
          <w:szCs w:val="20"/>
          <w:lang w:val="el-GR"/>
        </w:rPr>
      </w:pPr>
    </w:p>
    <w:p w14:paraId="40905F92" w14:textId="77777777" w:rsidR="00776E11" w:rsidRDefault="00776E11" w:rsidP="00776E11">
      <w:pPr>
        <w:pStyle w:val="a4"/>
        <w:tabs>
          <w:tab w:val="left" w:pos="1780"/>
        </w:tabs>
        <w:kinsoku w:val="0"/>
        <w:overflowPunct w:val="0"/>
        <w:ind w:left="1758" w:right="227"/>
        <w:jc w:val="both"/>
        <w:rPr>
          <w:sz w:val="20"/>
          <w:szCs w:val="20"/>
          <w:lang w:val="el-GR"/>
        </w:rPr>
      </w:pPr>
      <w:r w:rsidRPr="00F3293D">
        <w:rPr>
          <w:sz w:val="20"/>
          <w:szCs w:val="20"/>
          <w:lang w:val="el-GR"/>
        </w:rPr>
        <w:t xml:space="preserve">Η αξία του χαρτοφυλακίου κρατικών ομολόγων της ΕΚΤ (Γράφημα 10) που έχει προέλθει από την εφαρμογή του προγράμματος ποσοτικής χαλάρωσης (QE), για την εβδομάδα μέχρι τις 14 Μαΐου, διαμορφώθηκε στα Ευρώ 2,404 </w:t>
      </w:r>
      <w:proofErr w:type="spellStart"/>
      <w:r w:rsidRPr="00F3293D">
        <w:rPr>
          <w:sz w:val="20"/>
          <w:szCs w:val="20"/>
          <w:lang w:val="el-GR"/>
        </w:rPr>
        <w:t>τρισ</w:t>
      </w:r>
      <w:proofErr w:type="spellEnd"/>
      <w:r w:rsidRPr="00F3293D">
        <w:rPr>
          <w:sz w:val="20"/>
          <w:szCs w:val="20"/>
          <w:lang w:val="el-GR"/>
        </w:rPr>
        <w:t xml:space="preserve">. Η ΕΚΤ προέβη σε αγορές καλυμμένων ομολόγων, αξίας Ευρώ 917 εκατ., σε αγορές </w:t>
      </w:r>
      <w:proofErr w:type="spellStart"/>
      <w:r w:rsidRPr="00F3293D">
        <w:rPr>
          <w:sz w:val="20"/>
          <w:szCs w:val="20"/>
          <w:lang w:val="el-GR"/>
        </w:rPr>
        <w:t>Asset-Βacked</w:t>
      </w:r>
      <w:proofErr w:type="spellEnd"/>
      <w:r w:rsidRPr="00F3293D">
        <w:rPr>
          <w:sz w:val="20"/>
          <w:szCs w:val="20"/>
          <w:lang w:val="el-GR"/>
        </w:rPr>
        <w:t xml:space="preserve"> </w:t>
      </w:r>
      <w:proofErr w:type="spellStart"/>
      <w:r w:rsidRPr="00F3293D">
        <w:rPr>
          <w:sz w:val="20"/>
          <w:szCs w:val="20"/>
          <w:lang w:val="el-GR"/>
        </w:rPr>
        <w:t>Securities</w:t>
      </w:r>
      <w:proofErr w:type="spellEnd"/>
      <w:r w:rsidRPr="00F3293D">
        <w:rPr>
          <w:sz w:val="20"/>
          <w:szCs w:val="20"/>
          <w:lang w:val="el-GR"/>
        </w:rPr>
        <w:t>, αξίας Ευρώ 188 εκατ. και σε αγορές εταιρικών και ασφαλιστικών ομολογιακών τίτλων, αξίας Ευρώ 1,809 δισ. Επιπρόσθετα, η ΕΚΤ, την περασμένη εβδομάδα, πραγματοποίησε καθαρές αγορές, αξίας Ευρώ 19 δισ., στο πλαίσιο του Έκτακτου Προγράμματος Αγοράς Στοιχείων Ενεργητικού, λόγω της πανδημίας (</w:t>
      </w:r>
      <w:proofErr w:type="spellStart"/>
      <w:r w:rsidRPr="00F3293D">
        <w:rPr>
          <w:sz w:val="20"/>
          <w:szCs w:val="20"/>
          <w:lang w:val="el-GR"/>
        </w:rPr>
        <w:t>Pandemic</w:t>
      </w:r>
      <w:proofErr w:type="spellEnd"/>
      <w:r w:rsidRPr="00F3293D">
        <w:rPr>
          <w:sz w:val="20"/>
          <w:szCs w:val="20"/>
          <w:lang w:val="el-GR"/>
        </w:rPr>
        <w:t xml:space="preserve"> Emergency </w:t>
      </w:r>
      <w:proofErr w:type="spellStart"/>
      <w:r w:rsidRPr="00F3293D">
        <w:rPr>
          <w:sz w:val="20"/>
          <w:szCs w:val="20"/>
          <w:lang w:val="el-GR"/>
        </w:rPr>
        <w:t>Purchase</w:t>
      </w:r>
      <w:proofErr w:type="spellEnd"/>
      <w:r w:rsidRPr="00F3293D">
        <w:rPr>
          <w:sz w:val="20"/>
          <w:szCs w:val="20"/>
          <w:lang w:val="el-GR"/>
        </w:rPr>
        <w:t xml:space="preserve"> Programme-PEPP), με τη συνολική αξία του εν λόγω χαρτοφυλακίου να διαμορφώνεται περί τα Ευρώ 1,053 </w:t>
      </w:r>
      <w:proofErr w:type="spellStart"/>
      <w:r w:rsidRPr="00F3293D">
        <w:rPr>
          <w:sz w:val="20"/>
          <w:szCs w:val="20"/>
          <w:lang w:val="el-GR"/>
        </w:rPr>
        <w:t>τρισ</w:t>
      </w:r>
      <w:proofErr w:type="spellEnd"/>
      <w:r w:rsidRPr="00F3293D">
        <w:rPr>
          <w:sz w:val="20"/>
          <w:szCs w:val="20"/>
          <w:lang w:val="el-GR"/>
        </w:rPr>
        <w:t>.</w:t>
      </w:r>
    </w:p>
    <w:p w14:paraId="20473660" w14:textId="0EEB49D9" w:rsidR="00776E11" w:rsidRPr="00C000B3" w:rsidRDefault="00776E11" w:rsidP="00776E11">
      <w:pPr>
        <w:pStyle w:val="a4"/>
        <w:tabs>
          <w:tab w:val="left" w:pos="1780"/>
        </w:tabs>
        <w:kinsoku w:val="0"/>
        <w:overflowPunct w:val="0"/>
        <w:ind w:left="1758" w:right="227"/>
        <w:jc w:val="both"/>
        <w:rPr>
          <w:sz w:val="20"/>
          <w:szCs w:val="20"/>
          <w:lang w:val="el-GR"/>
        </w:rPr>
      </w:pPr>
      <w:r>
        <w:rPr>
          <w:noProof/>
          <w:lang w:val="el-GR" w:eastAsia="el-GR"/>
        </w:rPr>
        <mc:AlternateContent>
          <mc:Choice Requires="wpg">
            <w:drawing>
              <wp:anchor distT="0" distB="0" distL="114300" distR="114300" simplePos="0" relativeHeight="251681792" behindDoc="1" locked="0" layoutInCell="1" allowOverlap="1" wp14:anchorId="168672F0" wp14:editId="3EF42167">
                <wp:simplePos x="0" y="0"/>
                <wp:positionH relativeFrom="margin">
                  <wp:posOffset>0</wp:posOffset>
                </wp:positionH>
                <wp:positionV relativeFrom="paragraph">
                  <wp:posOffset>154940</wp:posOffset>
                </wp:positionV>
                <wp:extent cx="7180580" cy="3227070"/>
                <wp:effectExtent l="0" t="0" r="1270" b="0"/>
                <wp:wrapNone/>
                <wp:docPr id="1174" name="Group 1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0580" cy="3227070"/>
                          <a:chOff x="190" y="0"/>
                          <a:chExt cx="71619" cy="26289"/>
                        </a:xfrm>
                      </wpg:grpSpPr>
                      <wps:wsp>
                        <wps:cNvPr id="1175" name="Rectangle 24"/>
                        <wps:cNvSpPr>
                          <a:spLocks noChangeArrowheads="1"/>
                        </wps:cNvSpPr>
                        <wps:spPr bwMode="auto">
                          <a:xfrm>
                            <a:off x="190" y="0"/>
                            <a:ext cx="10090"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57C3D" w14:textId="77777777" w:rsidR="00776E11" w:rsidRPr="00BB07A3" w:rsidRDefault="00776E11" w:rsidP="00776E11">
                              <w:pPr>
                                <w:jc w:val="center"/>
                                <w:rPr>
                                  <w:rFonts w:ascii="Arial" w:hAnsi="Arial" w:cs="Arial"/>
                                  <w:color w:val="E24C37"/>
                                  <w:spacing w:val="-4"/>
                                  <w:sz w:val="18"/>
                                </w:rPr>
                              </w:pPr>
                              <w:r>
                                <w:rPr>
                                  <w:rFonts w:ascii="Arial" w:hAnsi="Arial" w:cs="Arial"/>
                                  <w:color w:val="E24C37"/>
                                  <w:spacing w:val="-4"/>
                                  <w:sz w:val="18"/>
                                </w:rPr>
                                <w:br/>
                              </w:r>
                              <w:r w:rsidRPr="00372EA9">
                                <w:rPr>
                                  <w:rFonts w:ascii="Arial" w:hAnsi="Arial" w:cs="Arial"/>
                                  <w:color w:val="E24C37"/>
                                  <w:spacing w:val="-4"/>
                                  <w:sz w:val="18"/>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1</w:t>
                              </w:r>
                              <w:r w:rsidRPr="00BB07A3">
                                <w:rPr>
                                  <w:rFonts w:ascii="Arial" w:hAnsi="Arial" w:cs="Arial"/>
                                  <w:color w:val="E24C37"/>
                                  <w:spacing w:val="-4"/>
                                  <w:sz w:val="18"/>
                                </w:rPr>
                                <w:t>0</w:t>
                              </w:r>
                            </w:p>
                            <w:p w14:paraId="790C1B28" w14:textId="77777777" w:rsidR="00776E11" w:rsidRDefault="00776E11" w:rsidP="00776E11">
                              <w:pPr>
                                <w:jc w:val="center"/>
                                <w:rPr>
                                  <w:rFonts w:ascii="Arial" w:hAnsi="Arial" w:cs="Arial"/>
                                  <w:color w:val="E24C37"/>
                                  <w:spacing w:val="-4"/>
                                  <w:sz w:val="18"/>
                                </w:rPr>
                              </w:pPr>
                            </w:p>
                            <w:p w14:paraId="607AB60E" w14:textId="77777777" w:rsidR="00776E11" w:rsidRDefault="00776E11" w:rsidP="00776E11">
                              <w:pPr>
                                <w:jc w:val="center"/>
                                <w:rPr>
                                  <w:rFonts w:ascii="Arial" w:hAnsi="Arial" w:cs="Arial"/>
                                  <w:color w:val="E24C37"/>
                                  <w:spacing w:val="-4"/>
                                  <w:sz w:val="18"/>
                                </w:rPr>
                              </w:pPr>
                            </w:p>
                            <w:p w14:paraId="5EA71FE9" w14:textId="77777777" w:rsidR="00776E11" w:rsidRDefault="00776E11" w:rsidP="00776E11">
                              <w:pPr>
                                <w:jc w:val="center"/>
                                <w:rPr>
                                  <w:rFonts w:ascii="Arial" w:hAnsi="Arial" w:cs="Arial"/>
                                  <w:color w:val="E24C37"/>
                                  <w:spacing w:val="-4"/>
                                  <w:sz w:val="18"/>
                                </w:rPr>
                              </w:pPr>
                            </w:p>
                            <w:p w14:paraId="4C800BE7" w14:textId="77777777" w:rsidR="00776E11" w:rsidRDefault="00776E11" w:rsidP="00776E11">
                              <w:pPr>
                                <w:jc w:val="center"/>
                                <w:rPr>
                                  <w:rFonts w:ascii="Arial" w:hAnsi="Arial" w:cs="Arial"/>
                                  <w:color w:val="E24C37"/>
                                  <w:spacing w:val="-4"/>
                                  <w:sz w:val="18"/>
                                </w:rPr>
                              </w:pPr>
                            </w:p>
                            <w:p w14:paraId="67558A16" w14:textId="77777777" w:rsidR="00776E11" w:rsidRDefault="00776E11" w:rsidP="00776E11">
                              <w:pPr>
                                <w:jc w:val="center"/>
                                <w:rPr>
                                  <w:rFonts w:ascii="Arial" w:hAnsi="Arial" w:cs="Arial"/>
                                  <w:color w:val="E24C37"/>
                                  <w:spacing w:val="-4"/>
                                  <w:sz w:val="18"/>
                                </w:rPr>
                              </w:pPr>
                            </w:p>
                            <w:p w14:paraId="579F60C8" w14:textId="77777777" w:rsidR="00776E11" w:rsidRDefault="00776E11" w:rsidP="00776E11">
                              <w:pPr>
                                <w:jc w:val="center"/>
                                <w:rPr>
                                  <w:rFonts w:ascii="Arial" w:hAnsi="Arial" w:cs="Arial"/>
                                  <w:color w:val="E24C37"/>
                                  <w:spacing w:val="-4"/>
                                  <w:sz w:val="18"/>
                                </w:rPr>
                              </w:pPr>
                            </w:p>
                            <w:p w14:paraId="1850BCFD" w14:textId="77777777" w:rsidR="00776E11" w:rsidRDefault="00776E11" w:rsidP="00776E11">
                              <w:pPr>
                                <w:jc w:val="center"/>
                                <w:rPr>
                                  <w:rFonts w:ascii="Arial" w:hAnsi="Arial" w:cs="Arial"/>
                                  <w:color w:val="E24C37"/>
                                  <w:spacing w:val="-4"/>
                                  <w:sz w:val="18"/>
                                </w:rPr>
                              </w:pPr>
                            </w:p>
                            <w:p w14:paraId="6C6EF1B3" w14:textId="77777777" w:rsidR="00776E11" w:rsidRDefault="00776E11" w:rsidP="00776E11">
                              <w:pPr>
                                <w:spacing w:after="0"/>
                                <w:jc w:val="center"/>
                                <w:rPr>
                                  <w:rFonts w:ascii="Arial" w:hAnsi="Arial" w:cs="Arial"/>
                                  <w:color w:val="000000"/>
                                  <w:spacing w:val="-4"/>
                                  <w:sz w:val="18"/>
                                </w:rPr>
                              </w:pPr>
                            </w:p>
                            <w:p w14:paraId="773B5E47" w14:textId="77777777" w:rsidR="00776E11" w:rsidRDefault="00776E11" w:rsidP="00776E11">
                              <w:pPr>
                                <w:spacing w:after="0"/>
                                <w:jc w:val="center"/>
                                <w:rPr>
                                  <w:rFonts w:ascii="Arial" w:hAnsi="Arial" w:cs="Arial"/>
                                  <w:color w:val="000000"/>
                                  <w:spacing w:val="-4"/>
                                  <w:sz w:val="18"/>
                                </w:rPr>
                              </w:pPr>
                              <w:r w:rsidRPr="0004158C">
                                <w:rPr>
                                  <w:rFonts w:ascii="Arial" w:hAnsi="Arial" w:cs="Arial"/>
                                  <w:color w:val="000000"/>
                                  <w:spacing w:val="-4"/>
                                  <w:sz w:val="18"/>
                                </w:rPr>
                                <w:t>Πηγή:</w:t>
                              </w:r>
                            </w:p>
                            <w:p w14:paraId="3B9CCC8B" w14:textId="77777777" w:rsidR="00776E11" w:rsidRPr="0004158C" w:rsidRDefault="00776E11" w:rsidP="00776E11">
                              <w:pPr>
                                <w:jc w:val="center"/>
                                <w:rPr>
                                  <w:rFonts w:ascii="Arial" w:hAnsi="Arial" w:cs="Arial"/>
                                  <w:color w:val="000000"/>
                                  <w:spacing w:val="-4"/>
                                  <w:sz w:val="18"/>
                                </w:rPr>
                              </w:pPr>
                              <w:r w:rsidRPr="0004158C">
                                <w:rPr>
                                  <w:rFonts w:ascii="Arial" w:hAnsi="Arial" w:cs="Arial"/>
                                  <w:color w:val="000000"/>
                                  <w:spacing w:val="-4"/>
                                  <w:sz w:val="18"/>
                                </w:rPr>
                                <w:t>Ευρωπαϊκή Κεντρική Τράπεζα, Alpha Bank</w:t>
                              </w:r>
                            </w:p>
                            <w:p w14:paraId="095FC8FD" w14:textId="77777777" w:rsidR="00776E11" w:rsidRPr="0004158C" w:rsidRDefault="00776E11" w:rsidP="00776E11">
                              <w:pPr>
                                <w:spacing w:after="0"/>
                                <w:jc w:val="center"/>
                                <w:rPr>
                                  <w:rFonts w:ascii="Arial" w:hAnsi="Arial" w:cs="Arial"/>
                                  <w:color w:val="000000"/>
                                  <w:spacing w:val="-4"/>
                                  <w:sz w:val="18"/>
                                </w:rPr>
                              </w:pPr>
                            </w:p>
                          </w:txbxContent>
                        </wps:txbx>
                        <wps:bodyPr rot="0" vert="horz" wrap="square" lIns="91440" tIns="45720" rIns="91440" bIns="45720" anchor="t" anchorCtr="0" upright="1">
                          <a:noAutofit/>
                        </wps:bodyPr>
                      </wps:wsp>
                      <wps:wsp>
                        <wps:cNvPr id="1176" name="Freeform 364"/>
                        <wps:cNvSpPr>
                          <a:spLocks/>
                        </wps:cNvSpPr>
                        <wps:spPr bwMode="auto">
                          <a:xfrm>
                            <a:off x="11460" y="0"/>
                            <a:ext cx="60349"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A2765D" w14:textId="77777777" w:rsidR="00776E11" w:rsidRPr="00372EA9" w:rsidRDefault="00776E11" w:rsidP="00776E11">
                              <w:pPr>
                                <w:tabs>
                                  <w:tab w:val="left" w:pos="2410"/>
                                </w:tabs>
                                <w:spacing w:after="0" w:line="240" w:lineRule="auto"/>
                                <w:rPr>
                                  <w:rFonts w:ascii="Arial" w:eastAsia="Arial" w:hAnsi="Arial" w:cs="Arial"/>
                                  <w:color w:val="0E3B70"/>
                                  <w:sz w:val="8"/>
                                  <w:szCs w:val="8"/>
                                </w:rPr>
                              </w:pPr>
                            </w:p>
                            <w:p w14:paraId="6CA3BBA1" w14:textId="77777777" w:rsidR="00776E11" w:rsidRDefault="00776E11" w:rsidP="00776E11">
                              <w:pPr>
                                <w:tabs>
                                  <w:tab w:val="left" w:pos="2410"/>
                                </w:tabs>
                                <w:spacing w:after="0" w:line="240" w:lineRule="auto"/>
                                <w:rPr>
                                  <w:rFonts w:ascii="Arial" w:eastAsia="Arial" w:hAnsi="Arial" w:cs="Arial"/>
                                  <w:color w:val="0E3B70"/>
                                  <w:sz w:val="20"/>
                                  <w:szCs w:val="20"/>
                                </w:rPr>
                              </w:pPr>
                              <w:r w:rsidRPr="00CD627B">
                                <w:rPr>
                                  <w:rFonts w:ascii="Arial" w:eastAsia="Arial" w:hAnsi="Arial" w:cs="Arial"/>
                                  <w:color w:val="0E3B70"/>
                                  <w:sz w:val="20"/>
                                  <w:szCs w:val="20"/>
                                </w:rPr>
                                <w:t>Εξέλιξη αγοραπωλησιών κρατικών ομολόγων</w:t>
                              </w:r>
                              <w:r>
                                <w:rPr>
                                  <w:rFonts w:ascii="Arial" w:eastAsia="Arial" w:hAnsi="Arial" w:cs="Arial"/>
                                  <w:color w:val="0E3B70"/>
                                  <w:sz w:val="20"/>
                                  <w:szCs w:val="20"/>
                                </w:rPr>
                                <w:t xml:space="preserve"> ανά μήνα</w:t>
                              </w:r>
                              <w:r w:rsidRPr="00CD627B">
                                <w:rPr>
                                  <w:rFonts w:ascii="Arial" w:eastAsia="Arial" w:hAnsi="Arial" w:cs="Arial"/>
                                  <w:color w:val="0E3B70"/>
                                  <w:sz w:val="20"/>
                                  <w:szCs w:val="20"/>
                                </w:rPr>
                                <w:t xml:space="preserve"> από την ΕΚΤ</w:t>
                              </w:r>
                            </w:p>
                            <w:p w14:paraId="6061F444" w14:textId="77777777" w:rsidR="00776E11" w:rsidRPr="005F4DC6" w:rsidRDefault="00776E11" w:rsidP="00776E11">
                              <w:pPr>
                                <w:tabs>
                                  <w:tab w:val="left" w:pos="2410"/>
                                </w:tabs>
                                <w:spacing w:after="0" w:line="240" w:lineRule="auto"/>
                                <w:rPr>
                                  <w:rFonts w:ascii="Arial" w:hAnsi="Arial" w:cs="Arial"/>
                                  <w:sz w:val="20"/>
                                </w:rPr>
                              </w:pPr>
                              <w:r w:rsidRPr="0056099C">
                                <w:rPr>
                                  <w:rFonts w:ascii="Arial" w:hAnsi="Arial" w:cs="Arial"/>
                                  <w:noProof/>
                                  <w:sz w:val="20"/>
                                  <w:lang w:eastAsia="el-GR"/>
                                </w:rPr>
                                <w:drawing>
                                  <wp:inline distT="0" distB="0" distL="0" distR="0" wp14:anchorId="69CF07BB" wp14:editId="466891BC">
                                    <wp:extent cx="5868035" cy="3761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37616"/>
                                            </a:xfrm>
                                            <a:prstGeom prst="rect">
                                              <a:avLst/>
                                            </a:prstGeom>
                                            <a:noFill/>
                                            <a:ln>
                                              <a:noFill/>
                                            </a:ln>
                                          </pic:spPr>
                                        </pic:pic>
                                      </a:graphicData>
                                    </a:graphic>
                                  </wp:inline>
                                </w:drawing>
                              </w:r>
                              <w:r>
                                <w:rPr>
                                  <w:rFonts w:ascii="Arial" w:hAnsi="Arial" w:cs="Arial"/>
                                  <w:sz w:val="20"/>
                                </w:rPr>
                                <w:br/>
                              </w:r>
                              <w:r w:rsidRPr="007C31E5">
                                <w:rPr>
                                  <w:noProof/>
                                  <w:lang w:eastAsia="el-GR"/>
                                </w:rPr>
                                <w:drawing>
                                  <wp:inline distT="0" distB="0" distL="0" distR="0" wp14:anchorId="34ABBC5A" wp14:editId="3B65A77B">
                                    <wp:extent cx="5715000" cy="27051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0" cy="2705100"/>
                                            </a:xfrm>
                                            <a:prstGeom prst="rect">
                                              <a:avLst/>
                                            </a:prstGeom>
                                            <a:noFill/>
                                            <a:ln>
                                              <a:noFill/>
                                            </a:ln>
                                          </pic:spPr>
                                        </pic:pic>
                                      </a:graphicData>
                                    </a:graphic>
                                  </wp:inline>
                                </w:drawing>
                              </w:r>
                              <w:r w:rsidRPr="00E719F4">
                                <w:rPr>
                                  <w:rFonts w:ascii="Arial" w:eastAsia="Arial" w:hAnsi="Arial" w:cs="Arial"/>
                                  <w:color w:val="0E3B70"/>
                                  <w:sz w:val="20"/>
                                  <w:szCs w:val="20"/>
                                </w:rPr>
                                <w:t xml:space="preserve"> </w:t>
                              </w:r>
                              <w:r w:rsidRPr="006772B2">
                                <w:rPr>
                                  <w:rFonts w:ascii="Arial" w:eastAsia="Arial" w:hAnsi="Arial" w:cs="Arial"/>
                                  <w:color w:val="0E3B70"/>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68672F0" id="Group 1174" o:spid="_x0000_s1053" style="position:absolute;left:0;text-align:left;margin-left:0;margin-top:12.2pt;width:565.4pt;height:254.1pt;z-index:-251634688;mso-position-horizontal-relative:margin;mso-height-relative:margin" coordorigin="190" coordsize="7161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">
                <v:rect id="Rectangle 24" o:spid="_x0000_s1054" style="position:absolute;left:190;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" fillcolor="#e5e4de" stroked="f">
                  <v:textbox>
                    <w:txbxContent>
                      <w:p w14:paraId="60D57C3D" w14:textId="77777777" w:rsidR="00776E11" w:rsidRPr="00BB07A3" w:rsidRDefault="00776E11" w:rsidP="00776E11">
                        <w:pPr>
                          <w:jc w:val="center"/>
                          <w:rPr>
                            <w:rFonts w:ascii="Arial" w:hAnsi="Arial" w:cs="Arial"/>
                            <w:color w:val="E24C37"/>
                            <w:spacing w:val="-4"/>
                            <w:sz w:val="18"/>
                          </w:rPr>
                        </w:pPr>
                        <w:r>
                          <w:rPr>
                            <w:rFonts w:ascii="Arial" w:hAnsi="Arial" w:cs="Arial"/>
                            <w:color w:val="E24C37"/>
                            <w:spacing w:val="-4"/>
                            <w:sz w:val="18"/>
                          </w:rPr>
                          <w:br/>
                        </w:r>
                        <w:r w:rsidRPr="00372EA9">
                          <w:rPr>
                            <w:rFonts w:ascii="Arial" w:hAnsi="Arial" w:cs="Arial"/>
                            <w:color w:val="E24C37"/>
                            <w:spacing w:val="-4"/>
                            <w:sz w:val="18"/>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1</w:t>
                        </w:r>
                        <w:r w:rsidRPr="00BB07A3">
                          <w:rPr>
                            <w:rFonts w:ascii="Arial" w:hAnsi="Arial" w:cs="Arial"/>
                            <w:color w:val="E24C37"/>
                            <w:spacing w:val="-4"/>
                            <w:sz w:val="18"/>
                          </w:rPr>
                          <w:t>0</w:t>
                        </w:r>
                      </w:p>
                      <w:p w14:paraId="790C1B28" w14:textId="77777777" w:rsidR="00776E11" w:rsidRDefault="00776E11" w:rsidP="00776E11">
                        <w:pPr>
                          <w:jc w:val="center"/>
                          <w:rPr>
                            <w:rFonts w:ascii="Arial" w:hAnsi="Arial" w:cs="Arial"/>
                            <w:color w:val="E24C37"/>
                            <w:spacing w:val="-4"/>
                            <w:sz w:val="18"/>
                          </w:rPr>
                        </w:pPr>
                      </w:p>
                      <w:p w14:paraId="607AB60E" w14:textId="77777777" w:rsidR="00776E11" w:rsidRDefault="00776E11" w:rsidP="00776E11">
                        <w:pPr>
                          <w:jc w:val="center"/>
                          <w:rPr>
                            <w:rFonts w:ascii="Arial" w:hAnsi="Arial" w:cs="Arial"/>
                            <w:color w:val="E24C37"/>
                            <w:spacing w:val="-4"/>
                            <w:sz w:val="18"/>
                          </w:rPr>
                        </w:pPr>
                      </w:p>
                      <w:p w14:paraId="5EA71FE9" w14:textId="77777777" w:rsidR="00776E11" w:rsidRDefault="00776E11" w:rsidP="00776E11">
                        <w:pPr>
                          <w:jc w:val="center"/>
                          <w:rPr>
                            <w:rFonts w:ascii="Arial" w:hAnsi="Arial" w:cs="Arial"/>
                            <w:color w:val="E24C37"/>
                            <w:spacing w:val="-4"/>
                            <w:sz w:val="18"/>
                          </w:rPr>
                        </w:pPr>
                      </w:p>
                      <w:p w14:paraId="4C800BE7" w14:textId="77777777" w:rsidR="00776E11" w:rsidRDefault="00776E11" w:rsidP="00776E11">
                        <w:pPr>
                          <w:jc w:val="center"/>
                          <w:rPr>
                            <w:rFonts w:ascii="Arial" w:hAnsi="Arial" w:cs="Arial"/>
                            <w:color w:val="E24C37"/>
                            <w:spacing w:val="-4"/>
                            <w:sz w:val="18"/>
                          </w:rPr>
                        </w:pPr>
                      </w:p>
                      <w:p w14:paraId="67558A16" w14:textId="77777777" w:rsidR="00776E11" w:rsidRDefault="00776E11" w:rsidP="00776E11">
                        <w:pPr>
                          <w:jc w:val="center"/>
                          <w:rPr>
                            <w:rFonts w:ascii="Arial" w:hAnsi="Arial" w:cs="Arial"/>
                            <w:color w:val="E24C37"/>
                            <w:spacing w:val="-4"/>
                            <w:sz w:val="18"/>
                          </w:rPr>
                        </w:pPr>
                      </w:p>
                      <w:p w14:paraId="579F60C8" w14:textId="77777777" w:rsidR="00776E11" w:rsidRDefault="00776E11" w:rsidP="00776E11">
                        <w:pPr>
                          <w:jc w:val="center"/>
                          <w:rPr>
                            <w:rFonts w:ascii="Arial" w:hAnsi="Arial" w:cs="Arial"/>
                            <w:color w:val="E24C37"/>
                            <w:spacing w:val="-4"/>
                            <w:sz w:val="18"/>
                          </w:rPr>
                        </w:pPr>
                      </w:p>
                      <w:p w14:paraId="1850BCFD" w14:textId="77777777" w:rsidR="00776E11" w:rsidRDefault="00776E11" w:rsidP="00776E11">
                        <w:pPr>
                          <w:jc w:val="center"/>
                          <w:rPr>
                            <w:rFonts w:ascii="Arial" w:hAnsi="Arial" w:cs="Arial"/>
                            <w:color w:val="E24C37"/>
                            <w:spacing w:val="-4"/>
                            <w:sz w:val="18"/>
                          </w:rPr>
                        </w:pPr>
                      </w:p>
                      <w:p w14:paraId="6C6EF1B3" w14:textId="77777777" w:rsidR="00776E11" w:rsidRDefault="00776E11" w:rsidP="00776E11">
                        <w:pPr>
                          <w:spacing w:after="0"/>
                          <w:jc w:val="center"/>
                          <w:rPr>
                            <w:rFonts w:ascii="Arial" w:hAnsi="Arial" w:cs="Arial"/>
                            <w:color w:val="000000"/>
                            <w:spacing w:val="-4"/>
                            <w:sz w:val="18"/>
                          </w:rPr>
                        </w:pPr>
                      </w:p>
                      <w:p w14:paraId="773B5E47" w14:textId="77777777" w:rsidR="00776E11" w:rsidRDefault="00776E11" w:rsidP="00776E11">
                        <w:pPr>
                          <w:spacing w:after="0"/>
                          <w:jc w:val="center"/>
                          <w:rPr>
                            <w:rFonts w:ascii="Arial" w:hAnsi="Arial" w:cs="Arial"/>
                            <w:color w:val="000000"/>
                            <w:spacing w:val="-4"/>
                            <w:sz w:val="18"/>
                          </w:rPr>
                        </w:pPr>
                        <w:r w:rsidRPr="0004158C">
                          <w:rPr>
                            <w:rFonts w:ascii="Arial" w:hAnsi="Arial" w:cs="Arial"/>
                            <w:color w:val="000000"/>
                            <w:spacing w:val="-4"/>
                            <w:sz w:val="18"/>
                          </w:rPr>
                          <w:t>Πηγή:</w:t>
                        </w:r>
                      </w:p>
                      <w:p w14:paraId="3B9CCC8B" w14:textId="77777777" w:rsidR="00776E11" w:rsidRPr="0004158C" w:rsidRDefault="00776E11" w:rsidP="00776E11">
                        <w:pPr>
                          <w:jc w:val="center"/>
                          <w:rPr>
                            <w:rFonts w:ascii="Arial" w:hAnsi="Arial" w:cs="Arial"/>
                            <w:color w:val="000000"/>
                            <w:spacing w:val="-4"/>
                            <w:sz w:val="18"/>
                          </w:rPr>
                        </w:pPr>
                        <w:r w:rsidRPr="0004158C">
                          <w:rPr>
                            <w:rFonts w:ascii="Arial" w:hAnsi="Arial" w:cs="Arial"/>
                            <w:color w:val="000000"/>
                            <w:spacing w:val="-4"/>
                            <w:sz w:val="18"/>
                          </w:rPr>
                          <w:t>Ευρωπαϊκή Κεντρική Τράπεζα, Alpha Bank</w:t>
                        </w:r>
                      </w:p>
                      <w:p w14:paraId="095FC8FD" w14:textId="77777777" w:rsidR="00776E11" w:rsidRPr="0004158C" w:rsidRDefault="00776E11" w:rsidP="00776E11">
                        <w:pPr>
                          <w:spacing w:after="0"/>
                          <w:jc w:val="center"/>
                          <w:rPr>
                            <w:rFonts w:ascii="Arial" w:hAnsi="Arial" w:cs="Arial"/>
                            <w:color w:val="000000"/>
                            <w:spacing w:val="-4"/>
                            <w:sz w:val="18"/>
                          </w:rPr>
                        </w:pPr>
                      </w:p>
                    </w:txbxContent>
                  </v:textbox>
                </v:rect>
                <v:shape id="Freeform 364" o:spid="_x0000_s1055" style="position:absolute;left:11460;width:60349;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" adj="-11796480,,5400" path="m9585,l,,,4123r9585,l9585,xe" fillcolor="#e5e4de" stroked="f">
                  <v:stroke joinstyle="round"/>
                  <v:formulas/>
                  <v:path arrowok="t" o:connecttype="custom" o:connectlocs="38317617,0;0,0;0,16754221;38317617,16754221;38317617,0" o:connectangles="0,0,0,0,0" textboxrect="0,0,9586,4124"/>
                  <v:textbox>
                    <w:txbxContent>
                      <w:p w14:paraId="4DA2765D" w14:textId="77777777" w:rsidR="00776E11" w:rsidRPr="00372EA9" w:rsidRDefault="00776E11" w:rsidP="00776E11">
                        <w:pPr>
                          <w:tabs>
                            <w:tab w:val="left" w:pos="2410"/>
                          </w:tabs>
                          <w:spacing w:after="0" w:line="240" w:lineRule="auto"/>
                          <w:rPr>
                            <w:rFonts w:ascii="Arial" w:eastAsia="Arial" w:hAnsi="Arial" w:cs="Arial"/>
                            <w:color w:val="0E3B70"/>
                            <w:sz w:val="8"/>
                            <w:szCs w:val="8"/>
                          </w:rPr>
                        </w:pPr>
                      </w:p>
                      <w:p w14:paraId="6CA3BBA1" w14:textId="77777777" w:rsidR="00776E11" w:rsidRDefault="00776E11" w:rsidP="00776E11">
                        <w:pPr>
                          <w:tabs>
                            <w:tab w:val="left" w:pos="2410"/>
                          </w:tabs>
                          <w:spacing w:after="0" w:line="240" w:lineRule="auto"/>
                          <w:rPr>
                            <w:rFonts w:ascii="Arial" w:eastAsia="Arial" w:hAnsi="Arial" w:cs="Arial"/>
                            <w:color w:val="0E3B70"/>
                            <w:sz w:val="20"/>
                            <w:szCs w:val="20"/>
                          </w:rPr>
                        </w:pPr>
                        <w:r w:rsidRPr="00CD627B">
                          <w:rPr>
                            <w:rFonts w:ascii="Arial" w:eastAsia="Arial" w:hAnsi="Arial" w:cs="Arial"/>
                            <w:color w:val="0E3B70"/>
                            <w:sz w:val="20"/>
                            <w:szCs w:val="20"/>
                          </w:rPr>
                          <w:t>Εξέλιξη αγοραπωλησιών κρατικών ομολόγων</w:t>
                        </w:r>
                        <w:r>
                          <w:rPr>
                            <w:rFonts w:ascii="Arial" w:eastAsia="Arial" w:hAnsi="Arial" w:cs="Arial"/>
                            <w:color w:val="0E3B70"/>
                            <w:sz w:val="20"/>
                            <w:szCs w:val="20"/>
                          </w:rPr>
                          <w:t xml:space="preserve"> ανά μήνα</w:t>
                        </w:r>
                        <w:r w:rsidRPr="00CD627B">
                          <w:rPr>
                            <w:rFonts w:ascii="Arial" w:eastAsia="Arial" w:hAnsi="Arial" w:cs="Arial"/>
                            <w:color w:val="0E3B70"/>
                            <w:sz w:val="20"/>
                            <w:szCs w:val="20"/>
                          </w:rPr>
                          <w:t xml:space="preserve"> από την ΕΚΤ</w:t>
                        </w:r>
                      </w:p>
                      <w:p w14:paraId="6061F444" w14:textId="77777777" w:rsidR="00776E11" w:rsidRPr="005F4DC6" w:rsidRDefault="00776E11" w:rsidP="00776E11">
                        <w:pPr>
                          <w:tabs>
                            <w:tab w:val="left" w:pos="2410"/>
                          </w:tabs>
                          <w:spacing w:after="0" w:line="240" w:lineRule="auto"/>
                          <w:rPr>
                            <w:rFonts w:ascii="Arial" w:hAnsi="Arial" w:cs="Arial"/>
                            <w:sz w:val="20"/>
                          </w:rPr>
                        </w:pPr>
                        <w:r w:rsidRPr="0056099C">
                          <w:rPr>
                            <w:rFonts w:ascii="Arial" w:hAnsi="Arial" w:cs="Arial"/>
                            <w:noProof/>
                            <w:sz w:val="20"/>
                            <w:lang w:eastAsia="el-GR"/>
                          </w:rPr>
                          <w:drawing>
                            <wp:inline distT="0" distB="0" distL="0" distR="0" wp14:anchorId="69CF07BB" wp14:editId="466891BC">
                              <wp:extent cx="5868035" cy="3761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37616"/>
                                      </a:xfrm>
                                      <a:prstGeom prst="rect">
                                        <a:avLst/>
                                      </a:prstGeom>
                                      <a:noFill/>
                                      <a:ln>
                                        <a:noFill/>
                                      </a:ln>
                                    </pic:spPr>
                                  </pic:pic>
                                </a:graphicData>
                              </a:graphic>
                            </wp:inline>
                          </w:drawing>
                        </w:r>
                        <w:r>
                          <w:rPr>
                            <w:rFonts w:ascii="Arial" w:hAnsi="Arial" w:cs="Arial"/>
                            <w:sz w:val="20"/>
                          </w:rPr>
                          <w:br/>
                        </w:r>
                        <w:r w:rsidRPr="007C31E5">
                          <w:rPr>
                            <w:noProof/>
                            <w:lang w:eastAsia="el-GR"/>
                          </w:rPr>
                          <w:drawing>
                            <wp:inline distT="0" distB="0" distL="0" distR="0" wp14:anchorId="34ABBC5A" wp14:editId="3B65A77B">
                              <wp:extent cx="5715000" cy="27051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0" cy="2705100"/>
                                      </a:xfrm>
                                      <a:prstGeom prst="rect">
                                        <a:avLst/>
                                      </a:prstGeom>
                                      <a:noFill/>
                                      <a:ln>
                                        <a:noFill/>
                                      </a:ln>
                                    </pic:spPr>
                                  </pic:pic>
                                </a:graphicData>
                              </a:graphic>
                            </wp:inline>
                          </w:drawing>
                        </w:r>
                        <w:r w:rsidRPr="00E719F4">
                          <w:rPr>
                            <w:rFonts w:ascii="Arial" w:eastAsia="Arial" w:hAnsi="Arial" w:cs="Arial"/>
                            <w:color w:val="0E3B70"/>
                            <w:sz w:val="20"/>
                            <w:szCs w:val="20"/>
                          </w:rPr>
                          <w:t xml:space="preserve"> </w:t>
                        </w:r>
                        <w:r w:rsidRPr="006772B2">
                          <w:rPr>
                            <w:rFonts w:ascii="Arial" w:eastAsia="Arial" w:hAnsi="Arial" w:cs="Arial"/>
                            <w:color w:val="0E3B70"/>
                            <w:sz w:val="20"/>
                            <w:szCs w:val="20"/>
                          </w:rPr>
                          <w:t xml:space="preserve"> </w:t>
                        </w:r>
                      </w:p>
                    </w:txbxContent>
                  </v:textbox>
                </v:shape>
                <w10:wrap anchorx="margin"/>
              </v:group>
            </w:pict>
          </mc:Fallback>
        </mc:AlternateContent>
      </w:r>
      <w:r w:rsidRPr="00C000B3">
        <w:rPr>
          <w:sz w:val="20"/>
          <w:szCs w:val="20"/>
          <w:lang w:val="el-GR"/>
        </w:rPr>
        <w:t xml:space="preserve">   </w:t>
      </w:r>
    </w:p>
    <w:p w14:paraId="66FDBB2B" w14:textId="77777777" w:rsidR="00776E11" w:rsidRPr="00C000B3" w:rsidRDefault="00776E11" w:rsidP="00776E11">
      <w:pPr>
        <w:pStyle w:val="a4"/>
        <w:tabs>
          <w:tab w:val="left" w:pos="1335"/>
        </w:tabs>
        <w:kinsoku w:val="0"/>
        <w:overflowPunct w:val="0"/>
        <w:ind w:right="227"/>
        <w:jc w:val="both"/>
        <w:rPr>
          <w:sz w:val="20"/>
          <w:szCs w:val="20"/>
          <w:lang w:val="el-GR"/>
        </w:rPr>
      </w:pPr>
    </w:p>
    <w:p w14:paraId="2F02469A" w14:textId="77777777" w:rsidR="00776E11" w:rsidRPr="00C000B3" w:rsidRDefault="00776E11" w:rsidP="00776E11">
      <w:pPr>
        <w:pStyle w:val="a4"/>
        <w:kinsoku w:val="0"/>
        <w:overflowPunct w:val="0"/>
        <w:ind w:right="227"/>
        <w:jc w:val="both"/>
        <w:rPr>
          <w:sz w:val="20"/>
          <w:szCs w:val="20"/>
          <w:lang w:val="el-GR"/>
        </w:rPr>
      </w:pPr>
    </w:p>
    <w:p w14:paraId="055B3D98" w14:textId="77777777" w:rsidR="00776E11" w:rsidRPr="00C000B3" w:rsidRDefault="00776E11" w:rsidP="00776E11">
      <w:pPr>
        <w:pStyle w:val="a4"/>
        <w:kinsoku w:val="0"/>
        <w:overflowPunct w:val="0"/>
        <w:ind w:right="227"/>
        <w:jc w:val="both"/>
        <w:rPr>
          <w:sz w:val="20"/>
          <w:szCs w:val="20"/>
          <w:lang w:val="el-GR"/>
        </w:rPr>
      </w:pPr>
    </w:p>
    <w:p w14:paraId="185693D0" w14:textId="77777777" w:rsidR="00776E11" w:rsidRPr="00C000B3" w:rsidRDefault="00776E11" w:rsidP="00776E11">
      <w:pPr>
        <w:pStyle w:val="a4"/>
        <w:kinsoku w:val="0"/>
        <w:overflowPunct w:val="0"/>
        <w:ind w:right="227"/>
        <w:jc w:val="both"/>
        <w:rPr>
          <w:sz w:val="20"/>
          <w:szCs w:val="20"/>
          <w:lang w:val="el-GR"/>
        </w:rPr>
      </w:pPr>
    </w:p>
    <w:p w14:paraId="4C7150C1" w14:textId="77777777" w:rsidR="00776E11" w:rsidRPr="00C000B3" w:rsidRDefault="00776E11" w:rsidP="00776E11">
      <w:pPr>
        <w:pStyle w:val="a4"/>
        <w:kinsoku w:val="0"/>
        <w:overflowPunct w:val="0"/>
        <w:ind w:right="227"/>
        <w:jc w:val="both"/>
        <w:rPr>
          <w:sz w:val="20"/>
          <w:szCs w:val="20"/>
          <w:lang w:val="el-GR"/>
        </w:rPr>
      </w:pPr>
    </w:p>
    <w:p w14:paraId="3233CCD0" w14:textId="77777777" w:rsidR="00776E11" w:rsidRPr="00C000B3" w:rsidRDefault="00776E11" w:rsidP="00776E11">
      <w:pPr>
        <w:pStyle w:val="a4"/>
        <w:kinsoku w:val="0"/>
        <w:overflowPunct w:val="0"/>
        <w:ind w:right="227"/>
        <w:jc w:val="both"/>
        <w:rPr>
          <w:sz w:val="20"/>
          <w:szCs w:val="20"/>
          <w:lang w:val="el-GR"/>
        </w:rPr>
      </w:pPr>
    </w:p>
    <w:p w14:paraId="08451318" w14:textId="77777777" w:rsidR="00776E11" w:rsidRPr="00C000B3" w:rsidRDefault="00776E11" w:rsidP="00776E11">
      <w:pPr>
        <w:pStyle w:val="a4"/>
        <w:kinsoku w:val="0"/>
        <w:overflowPunct w:val="0"/>
        <w:ind w:right="227"/>
        <w:jc w:val="both"/>
        <w:rPr>
          <w:sz w:val="20"/>
          <w:szCs w:val="20"/>
          <w:lang w:val="el-GR"/>
        </w:rPr>
      </w:pPr>
    </w:p>
    <w:p w14:paraId="5CFA36CA" w14:textId="77777777" w:rsidR="00776E11" w:rsidRPr="00C000B3" w:rsidRDefault="00776E11" w:rsidP="00776E11">
      <w:pPr>
        <w:pStyle w:val="a4"/>
        <w:kinsoku w:val="0"/>
        <w:overflowPunct w:val="0"/>
        <w:ind w:right="227"/>
        <w:jc w:val="both"/>
        <w:rPr>
          <w:sz w:val="20"/>
          <w:szCs w:val="20"/>
          <w:lang w:val="el-GR"/>
        </w:rPr>
      </w:pPr>
    </w:p>
    <w:p w14:paraId="0614D0A2" w14:textId="77777777" w:rsidR="00776E11" w:rsidRPr="00C000B3" w:rsidRDefault="00776E11" w:rsidP="00776E11">
      <w:pPr>
        <w:pStyle w:val="a4"/>
        <w:kinsoku w:val="0"/>
        <w:overflowPunct w:val="0"/>
        <w:ind w:right="227"/>
        <w:jc w:val="both"/>
        <w:rPr>
          <w:sz w:val="20"/>
          <w:szCs w:val="20"/>
          <w:lang w:val="el-GR"/>
        </w:rPr>
      </w:pPr>
    </w:p>
    <w:p w14:paraId="679483E2" w14:textId="77777777" w:rsidR="00776E11" w:rsidRPr="00C000B3" w:rsidRDefault="00776E11" w:rsidP="00776E11">
      <w:pPr>
        <w:pStyle w:val="a4"/>
        <w:kinsoku w:val="0"/>
        <w:overflowPunct w:val="0"/>
        <w:ind w:right="227"/>
        <w:jc w:val="both"/>
        <w:rPr>
          <w:sz w:val="20"/>
          <w:szCs w:val="20"/>
          <w:lang w:val="el-GR"/>
        </w:rPr>
      </w:pPr>
    </w:p>
    <w:p w14:paraId="4794554F" w14:textId="77777777" w:rsidR="00776E11" w:rsidRPr="00C000B3" w:rsidRDefault="00776E11" w:rsidP="00776E11">
      <w:pPr>
        <w:pStyle w:val="a4"/>
        <w:kinsoku w:val="0"/>
        <w:overflowPunct w:val="0"/>
        <w:ind w:right="227"/>
        <w:jc w:val="both"/>
        <w:rPr>
          <w:sz w:val="20"/>
          <w:szCs w:val="20"/>
          <w:lang w:val="el-GR"/>
        </w:rPr>
      </w:pPr>
    </w:p>
    <w:p w14:paraId="20999A3B" w14:textId="77777777" w:rsidR="00776E11" w:rsidRPr="00C000B3" w:rsidRDefault="00776E11" w:rsidP="00776E11">
      <w:pPr>
        <w:pStyle w:val="a4"/>
        <w:kinsoku w:val="0"/>
        <w:overflowPunct w:val="0"/>
        <w:ind w:right="227"/>
        <w:jc w:val="both"/>
        <w:rPr>
          <w:sz w:val="20"/>
          <w:szCs w:val="20"/>
          <w:lang w:val="el-GR"/>
        </w:rPr>
      </w:pPr>
    </w:p>
    <w:p w14:paraId="3FBE9DCE" w14:textId="77777777" w:rsidR="00776E11" w:rsidRPr="00C000B3" w:rsidRDefault="00776E11" w:rsidP="00776E11">
      <w:pPr>
        <w:pStyle w:val="a4"/>
        <w:kinsoku w:val="0"/>
        <w:overflowPunct w:val="0"/>
        <w:ind w:right="227"/>
        <w:jc w:val="both"/>
        <w:rPr>
          <w:sz w:val="20"/>
          <w:szCs w:val="20"/>
          <w:lang w:val="el-GR"/>
        </w:rPr>
      </w:pPr>
    </w:p>
    <w:p w14:paraId="0EB8AF8C" w14:textId="77777777" w:rsidR="00776E11" w:rsidRDefault="00776E11" w:rsidP="00776E11">
      <w:pPr>
        <w:pStyle w:val="a4"/>
        <w:kinsoku w:val="0"/>
        <w:overflowPunct w:val="0"/>
        <w:ind w:right="227"/>
        <w:jc w:val="both"/>
        <w:rPr>
          <w:sz w:val="20"/>
          <w:szCs w:val="20"/>
          <w:lang w:val="el-GR"/>
        </w:rPr>
      </w:pPr>
    </w:p>
    <w:p w14:paraId="5E333AD1" w14:textId="77777777" w:rsidR="00776E11" w:rsidRDefault="00776E11" w:rsidP="00776E11">
      <w:pPr>
        <w:pStyle w:val="a4"/>
        <w:kinsoku w:val="0"/>
        <w:overflowPunct w:val="0"/>
        <w:ind w:right="227"/>
        <w:jc w:val="both"/>
        <w:rPr>
          <w:sz w:val="20"/>
          <w:szCs w:val="20"/>
          <w:lang w:val="el-GR"/>
        </w:rPr>
      </w:pPr>
    </w:p>
    <w:p w14:paraId="6E643D2A" w14:textId="77777777" w:rsidR="00776E11" w:rsidRDefault="00776E11" w:rsidP="00776E11">
      <w:pPr>
        <w:pStyle w:val="a4"/>
        <w:kinsoku w:val="0"/>
        <w:overflowPunct w:val="0"/>
        <w:ind w:right="227"/>
        <w:jc w:val="both"/>
        <w:rPr>
          <w:sz w:val="20"/>
          <w:szCs w:val="20"/>
          <w:lang w:val="el-GR"/>
        </w:rPr>
      </w:pPr>
    </w:p>
    <w:p w14:paraId="168B5AEA" w14:textId="77777777" w:rsidR="00776E11" w:rsidRDefault="00776E11" w:rsidP="00776E11">
      <w:pPr>
        <w:pStyle w:val="a4"/>
        <w:kinsoku w:val="0"/>
        <w:overflowPunct w:val="0"/>
        <w:ind w:right="227"/>
        <w:jc w:val="both"/>
        <w:rPr>
          <w:sz w:val="20"/>
          <w:szCs w:val="20"/>
          <w:lang w:val="el-GR"/>
        </w:rPr>
      </w:pPr>
    </w:p>
    <w:p w14:paraId="7B2B70C9" w14:textId="77777777" w:rsidR="00776E11" w:rsidRDefault="00776E11" w:rsidP="00776E11">
      <w:pPr>
        <w:pStyle w:val="a4"/>
        <w:kinsoku w:val="0"/>
        <w:overflowPunct w:val="0"/>
        <w:ind w:right="227"/>
        <w:jc w:val="both"/>
        <w:rPr>
          <w:sz w:val="20"/>
          <w:szCs w:val="20"/>
          <w:lang w:val="el-GR"/>
        </w:rPr>
      </w:pPr>
    </w:p>
    <w:p w14:paraId="4C92CE8C" w14:textId="77777777" w:rsidR="00776E11" w:rsidRDefault="00776E11" w:rsidP="00776E11">
      <w:pPr>
        <w:pStyle w:val="a4"/>
        <w:kinsoku w:val="0"/>
        <w:overflowPunct w:val="0"/>
        <w:ind w:right="227"/>
        <w:jc w:val="both"/>
        <w:rPr>
          <w:sz w:val="20"/>
          <w:szCs w:val="20"/>
          <w:lang w:val="el-GR"/>
        </w:rPr>
      </w:pPr>
    </w:p>
    <w:p w14:paraId="370AB0B2" w14:textId="77777777" w:rsidR="00776E11" w:rsidRDefault="00776E11" w:rsidP="00776E11">
      <w:pPr>
        <w:pStyle w:val="a4"/>
        <w:kinsoku w:val="0"/>
        <w:overflowPunct w:val="0"/>
        <w:ind w:left="1758" w:right="227"/>
        <w:jc w:val="both"/>
        <w:rPr>
          <w:sz w:val="20"/>
          <w:szCs w:val="20"/>
          <w:lang w:val="el-GR"/>
        </w:rPr>
      </w:pPr>
    </w:p>
    <w:p w14:paraId="30295C5B" w14:textId="77777777" w:rsidR="00776E11" w:rsidRDefault="00776E11" w:rsidP="00776E11">
      <w:pPr>
        <w:pStyle w:val="a4"/>
        <w:kinsoku w:val="0"/>
        <w:overflowPunct w:val="0"/>
        <w:ind w:left="1758" w:right="227"/>
        <w:jc w:val="both"/>
        <w:rPr>
          <w:sz w:val="20"/>
          <w:szCs w:val="20"/>
          <w:lang w:val="el-GR"/>
        </w:rPr>
      </w:pPr>
    </w:p>
    <w:p w14:paraId="3DC8D1AC" w14:textId="77777777" w:rsidR="00776E11" w:rsidRDefault="00776E11" w:rsidP="00776E11">
      <w:pPr>
        <w:pStyle w:val="a4"/>
        <w:kinsoku w:val="0"/>
        <w:overflowPunct w:val="0"/>
        <w:ind w:left="1758" w:right="227"/>
        <w:jc w:val="both"/>
        <w:rPr>
          <w:sz w:val="20"/>
          <w:szCs w:val="20"/>
          <w:lang w:val="el-GR"/>
        </w:rPr>
      </w:pPr>
    </w:p>
    <w:p w14:paraId="5C207951" w14:textId="77777777" w:rsidR="00776E11" w:rsidRDefault="00776E11" w:rsidP="00776E11">
      <w:pPr>
        <w:pStyle w:val="a4"/>
        <w:kinsoku w:val="0"/>
        <w:overflowPunct w:val="0"/>
        <w:ind w:left="1758" w:right="227"/>
        <w:jc w:val="both"/>
        <w:rPr>
          <w:sz w:val="20"/>
          <w:szCs w:val="20"/>
          <w:lang w:val="el-GR"/>
        </w:rPr>
      </w:pPr>
    </w:p>
    <w:p w14:paraId="64DAFD5A" w14:textId="77777777" w:rsidR="00776E11" w:rsidRPr="00F3293D" w:rsidRDefault="00776E11" w:rsidP="00776E11">
      <w:pPr>
        <w:pStyle w:val="a4"/>
        <w:kinsoku w:val="0"/>
        <w:overflowPunct w:val="0"/>
        <w:ind w:left="1758" w:right="227"/>
        <w:jc w:val="both"/>
        <w:rPr>
          <w:sz w:val="20"/>
          <w:szCs w:val="20"/>
          <w:lang w:val="el-GR"/>
        </w:rPr>
      </w:pPr>
      <w:r w:rsidRPr="00F3293D">
        <w:rPr>
          <w:sz w:val="20"/>
          <w:szCs w:val="20"/>
          <w:lang w:val="el-GR"/>
        </w:rPr>
        <w:t>Στην ελληνική αγορά ομολόγων, το εύρος της απόδοσης του δεκαετούς κρατικού ομολόγου, λήξης 18 Ιουνίου 2031, με κουπόνι 0,75%, διαμορφωνόταν, στις 17 Μαΐου, μεταξύ 1,04% και 1,11%. Επιπλέον, το δεκαετές ομόλογο της Πορτογαλίας κατέγραφε απόδοση 0,61%, της Ιταλίας 1,10% και της Ισπανίας 0,61% (Γράφημα 11). Η διαφορά απόδοσης μεταξύ του δεκαετούς ομολόγου της Ελλάδας και του δεκαετούς ομολόγου της Γερμανίας (</w:t>
      </w:r>
      <w:proofErr w:type="spellStart"/>
      <w:r w:rsidRPr="00F3293D">
        <w:rPr>
          <w:sz w:val="20"/>
          <w:szCs w:val="20"/>
          <w:lang w:val="el-GR"/>
        </w:rPr>
        <w:t>spread</w:t>
      </w:r>
      <w:proofErr w:type="spellEnd"/>
      <w:r w:rsidRPr="00F3293D">
        <w:rPr>
          <w:sz w:val="20"/>
          <w:szCs w:val="20"/>
          <w:lang w:val="el-GR"/>
        </w:rPr>
        <w:t xml:space="preserve">) διαμορφωνόταν στις 120 μονάδες βάσης, του δεκαετούς πορτογαλικού ομολόγου στις </w:t>
      </w:r>
      <w:r w:rsidRPr="00F3293D">
        <w:rPr>
          <w:sz w:val="20"/>
          <w:szCs w:val="20"/>
          <w:lang w:val="el-GR"/>
        </w:rPr>
        <w:lastRenderedPageBreak/>
        <w:t xml:space="preserve">73 </w:t>
      </w:r>
      <w:proofErr w:type="spellStart"/>
      <w:r w:rsidRPr="00F3293D">
        <w:rPr>
          <w:sz w:val="20"/>
          <w:szCs w:val="20"/>
          <w:lang w:val="el-GR"/>
        </w:rPr>
        <w:t>μ.β</w:t>
      </w:r>
      <w:proofErr w:type="spellEnd"/>
      <w:r w:rsidRPr="00F3293D">
        <w:rPr>
          <w:sz w:val="20"/>
          <w:szCs w:val="20"/>
          <w:lang w:val="el-GR"/>
        </w:rPr>
        <w:t xml:space="preserve">., ενώ του δεκαετούς ιταλικού ομολόγου στις 122 </w:t>
      </w:r>
      <w:proofErr w:type="spellStart"/>
      <w:r w:rsidRPr="00F3293D">
        <w:rPr>
          <w:sz w:val="20"/>
          <w:szCs w:val="20"/>
          <w:lang w:val="el-GR"/>
        </w:rPr>
        <w:t>μ.β</w:t>
      </w:r>
      <w:proofErr w:type="spellEnd"/>
      <w:r w:rsidRPr="00F3293D">
        <w:rPr>
          <w:sz w:val="20"/>
          <w:szCs w:val="20"/>
          <w:lang w:val="el-GR"/>
        </w:rPr>
        <w:t>. Παράλληλα, η απόδοση του δεκαετούς ομολόγου της Γερμανίας, ως σημείο αναφοράς του κόστους δανεισμού της Ζώνης του Ευρώ (</w:t>
      </w:r>
      <w:proofErr w:type="spellStart"/>
      <w:r w:rsidRPr="00F3293D">
        <w:rPr>
          <w:sz w:val="20"/>
          <w:szCs w:val="20"/>
          <w:lang w:val="el-GR"/>
        </w:rPr>
        <w:t>ΖτΕ</w:t>
      </w:r>
      <w:proofErr w:type="spellEnd"/>
      <w:r w:rsidRPr="00F3293D">
        <w:rPr>
          <w:sz w:val="20"/>
          <w:szCs w:val="20"/>
          <w:lang w:val="el-GR"/>
        </w:rPr>
        <w:t>), διαμορφωνόταν στο -0,12%, στις 17 Μαΐου, ενώ η απόδοση του δεκαετούς ομολόγου των ΗΠΑ στο 1,64%.</w:t>
      </w:r>
    </w:p>
    <w:p w14:paraId="4036593C" w14:textId="77777777" w:rsidR="00776E11" w:rsidRPr="00F3293D" w:rsidRDefault="00776E11" w:rsidP="00776E11">
      <w:pPr>
        <w:pStyle w:val="a4"/>
        <w:kinsoku w:val="0"/>
        <w:overflowPunct w:val="0"/>
        <w:ind w:left="1758" w:right="227"/>
        <w:jc w:val="both"/>
        <w:rPr>
          <w:sz w:val="20"/>
          <w:szCs w:val="20"/>
          <w:lang w:val="el-GR"/>
        </w:rPr>
      </w:pPr>
    </w:p>
    <w:p w14:paraId="000A3016" w14:textId="791BA841" w:rsidR="00776E11" w:rsidRDefault="00776E11" w:rsidP="00776E11">
      <w:pPr>
        <w:pStyle w:val="a4"/>
        <w:kinsoku w:val="0"/>
        <w:overflowPunct w:val="0"/>
        <w:ind w:left="1758" w:right="227"/>
        <w:jc w:val="both"/>
        <w:rPr>
          <w:sz w:val="20"/>
          <w:szCs w:val="20"/>
          <w:lang w:val="el-GR"/>
        </w:rPr>
      </w:pPr>
      <w:r w:rsidRPr="00F3293D">
        <w:rPr>
          <w:sz w:val="20"/>
          <w:szCs w:val="20"/>
          <w:lang w:val="el-GR"/>
        </w:rPr>
        <w:t xml:space="preserve">Διατηρούνται οι ανησυχίες των συμμετεχόντων στις αγορές για ενδεχόμενη μείωση του ρυθμού αγοράς κρατικών ομολόγων, στα πλαίσια του PEPP, από την Ευρωπαϊκή Κεντρική Τράπεζα (ΕΚΤ), ωθώντας προς τα πάνω τις αποδόσεις των ομολόγων των κρατών-μελών της Ζώνης του Ευρώ. Είναι χαρακτηριστικό ότι η Ιταλία, η οποία αποτελεί ένα από τα κράτη που έχουν ωφεληθεί περισσότερο από το PEPP, είδε την απόδοση του δεκαετούς ομολόγου της να  ανέρχεται στα υψηλότερα επίπεδα των τελευταίων οκτώ μηνών. Επιπρόσθετα οι αποδόσεις του ισπανικού και του πορτογαλικού δεκαετούς ομολόγου αυξήθηκαν στα υψηλότερα επίπεδα των τελευταίων δώδεκα περίπου μηνών, καθώς οι ομολογιακές αποδόσεις των κρατών-μελών της περιφέρειας της </w:t>
      </w:r>
      <w:proofErr w:type="spellStart"/>
      <w:r w:rsidRPr="00F3293D">
        <w:rPr>
          <w:sz w:val="20"/>
          <w:szCs w:val="20"/>
          <w:lang w:val="el-GR"/>
        </w:rPr>
        <w:t>ΖτΕ</w:t>
      </w:r>
      <w:proofErr w:type="spellEnd"/>
      <w:r w:rsidRPr="00F3293D">
        <w:rPr>
          <w:sz w:val="20"/>
          <w:szCs w:val="20"/>
          <w:lang w:val="el-GR"/>
        </w:rPr>
        <w:t xml:space="preserve"> δείχνουν να είναι πιο ευάλωτες σε ενδεχόμενη μεταβολή του PEPP. Σημαντική θεωρείται η επόμενη συνεδρίαση της ΕΚΤ, στις 10 Ιουνίου, με τις απόψεις των συμμετεχόντων στις αγορές αναφορικά με ενδεχόμενη μεταβολή του πανδημικού προγράμματος να διίστανται.</w:t>
      </w:r>
    </w:p>
    <w:p w14:paraId="3512D121" w14:textId="77777777" w:rsidR="00776E11" w:rsidRDefault="00776E11" w:rsidP="00776E11">
      <w:pPr>
        <w:pStyle w:val="a4"/>
        <w:kinsoku w:val="0"/>
        <w:overflowPunct w:val="0"/>
        <w:ind w:left="1758" w:right="227"/>
        <w:jc w:val="both"/>
        <w:rPr>
          <w:sz w:val="20"/>
          <w:szCs w:val="20"/>
          <w:lang w:val="el-GR"/>
        </w:rPr>
      </w:pPr>
    </w:p>
    <w:p w14:paraId="4F4EE9BF" w14:textId="77777777" w:rsidR="00776E11" w:rsidRDefault="00776E11" w:rsidP="00776E11">
      <w:pPr>
        <w:pStyle w:val="a4"/>
        <w:tabs>
          <w:tab w:val="left" w:pos="2160"/>
        </w:tabs>
        <w:kinsoku w:val="0"/>
        <w:overflowPunct w:val="0"/>
        <w:ind w:left="1758" w:right="227"/>
        <w:jc w:val="both"/>
        <w:rPr>
          <w:sz w:val="20"/>
          <w:szCs w:val="20"/>
          <w:lang w:val="el-GR"/>
        </w:rPr>
      </w:pPr>
      <w:r>
        <w:rPr>
          <w:noProof/>
          <w:lang w:val="el-GR" w:eastAsia="el-GR"/>
        </w:rPr>
        <mc:AlternateContent>
          <mc:Choice Requires="wpg">
            <w:drawing>
              <wp:anchor distT="0" distB="0" distL="114300" distR="114300" simplePos="0" relativeHeight="251683840" behindDoc="1" locked="0" layoutInCell="1" allowOverlap="1" wp14:anchorId="36B23972" wp14:editId="6E5299C3">
                <wp:simplePos x="0" y="0"/>
                <wp:positionH relativeFrom="margin">
                  <wp:posOffset>0</wp:posOffset>
                </wp:positionH>
                <wp:positionV relativeFrom="paragraph">
                  <wp:posOffset>-635</wp:posOffset>
                </wp:positionV>
                <wp:extent cx="7180580" cy="3227070"/>
                <wp:effectExtent l="0" t="0" r="127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0580" cy="3227070"/>
                          <a:chOff x="190" y="0"/>
                          <a:chExt cx="71619" cy="26289"/>
                        </a:xfrm>
                      </wpg:grpSpPr>
                      <wps:wsp>
                        <wps:cNvPr id="1" name="Rectangle 24"/>
                        <wps:cNvSpPr>
                          <a:spLocks noChangeArrowheads="1"/>
                        </wps:cNvSpPr>
                        <wps:spPr bwMode="auto">
                          <a:xfrm>
                            <a:off x="190" y="0"/>
                            <a:ext cx="10090"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6EAE8" w14:textId="77777777" w:rsidR="00776E11" w:rsidRPr="00B37933" w:rsidRDefault="00776E11" w:rsidP="00776E11">
                              <w:pPr>
                                <w:jc w:val="center"/>
                                <w:rPr>
                                  <w:rFonts w:ascii="Arial" w:hAnsi="Arial" w:cs="Arial"/>
                                  <w:color w:val="E24C37"/>
                                  <w:spacing w:val="-4"/>
                                  <w:sz w:val="18"/>
                                </w:rPr>
                              </w:pPr>
                              <w:r>
                                <w:rPr>
                                  <w:rFonts w:ascii="Arial" w:hAnsi="Arial" w:cs="Arial"/>
                                  <w:color w:val="E24C37"/>
                                  <w:spacing w:val="-4"/>
                                  <w:sz w:val="18"/>
                                </w:rPr>
                                <w:br/>
                              </w:r>
                              <w:r w:rsidRPr="00372EA9">
                                <w:rPr>
                                  <w:rFonts w:ascii="Arial" w:hAnsi="Arial" w:cs="Arial"/>
                                  <w:color w:val="E24C37"/>
                                  <w:spacing w:val="-4"/>
                                  <w:sz w:val="18"/>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11</w:t>
                              </w:r>
                            </w:p>
                            <w:p w14:paraId="60FE9C39" w14:textId="77777777" w:rsidR="00776E11" w:rsidRDefault="00776E11" w:rsidP="00776E11">
                              <w:pPr>
                                <w:jc w:val="center"/>
                                <w:rPr>
                                  <w:rFonts w:ascii="Arial" w:hAnsi="Arial" w:cs="Arial"/>
                                  <w:color w:val="E24C37"/>
                                  <w:spacing w:val="-4"/>
                                  <w:sz w:val="18"/>
                                </w:rPr>
                              </w:pPr>
                            </w:p>
                            <w:p w14:paraId="22BC1DA9" w14:textId="77777777" w:rsidR="00776E11" w:rsidRDefault="00776E11" w:rsidP="00776E11">
                              <w:pPr>
                                <w:jc w:val="center"/>
                                <w:rPr>
                                  <w:rFonts w:ascii="Arial" w:hAnsi="Arial" w:cs="Arial"/>
                                  <w:color w:val="E24C37"/>
                                  <w:spacing w:val="-4"/>
                                  <w:sz w:val="18"/>
                                </w:rPr>
                              </w:pPr>
                            </w:p>
                            <w:p w14:paraId="25CAA5E7" w14:textId="77777777" w:rsidR="00776E11" w:rsidRDefault="00776E11" w:rsidP="00776E11">
                              <w:pPr>
                                <w:jc w:val="center"/>
                                <w:rPr>
                                  <w:rFonts w:ascii="Arial" w:hAnsi="Arial" w:cs="Arial"/>
                                  <w:color w:val="E24C37"/>
                                  <w:spacing w:val="-4"/>
                                  <w:sz w:val="18"/>
                                </w:rPr>
                              </w:pPr>
                            </w:p>
                            <w:p w14:paraId="6A4B49A9" w14:textId="77777777" w:rsidR="00776E11" w:rsidRDefault="00776E11" w:rsidP="00776E11">
                              <w:pPr>
                                <w:jc w:val="center"/>
                                <w:rPr>
                                  <w:rFonts w:ascii="Arial" w:hAnsi="Arial" w:cs="Arial"/>
                                  <w:color w:val="E24C37"/>
                                  <w:spacing w:val="-4"/>
                                  <w:sz w:val="18"/>
                                </w:rPr>
                              </w:pPr>
                            </w:p>
                            <w:p w14:paraId="6555C1D1" w14:textId="77777777" w:rsidR="00776E11" w:rsidRDefault="00776E11" w:rsidP="00776E11">
                              <w:pPr>
                                <w:jc w:val="center"/>
                                <w:rPr>
                                  <w:rFonts w:ascii="Arial" w:hAnsi="Arial" w:cs="Arial"/>
                                  <w:color w:val="E24C37"/>
                                  <w:spacing w:val="-4"/>
                                  <w:sz w:val="18"/>
                                </w:rPr>
                              </w:pPr>
                            </w:p>
                            <w:p w14:paraId="25F95E92" w14:textId="77777777" w:rsidR="00776E11" w:rsidRDefault="00776E11" w:rsidP="00776E11">
                              <w:pPr>
                                <w:jc w:val="center"/>
                                <w:rPr>
                                  <w:rFonts w:ascii="Arial" w:hAnsi="Arial" w:cs="Arial"/>
                                  <w:color w:val="E24C37"/>
                                  <w:spacing w:val="-4"/>
                                  <w:sz w:val="18"/>
                                </w:rPr>
                              </w:pPr>
                            </w:p>
                            <w:p w14:paraId="6AADD33D" w14:textId="77777777" w:rsidR="00776E11" w:rsidRDefault="00776E11" w:rsidP="00776E11">
                              <w:pPr>
                                <w:jc w:val="center"/>
                                <w:rPr>
                                  <w:rFonts w:ascii="Arial" w:hAnsi="Arial" w:cs="Arial"/>
                                  <w:color w:val="E24C37"/>
                                  <w:spacing w:val="-4"/>
                                  <w:sz w:val="18"/>
                                </w:rPr>
                              </w:pPr>
                            </w:p>
                            <w:p w14:paraId="298DC0F3" w14:textId="77777777" w:rsidR="00776E11" w:rsidRDefault="00776E11" w:rsidP="00776E11">
                              <w:pPr>
                                <w:spacing w:after="0"/>
                                <w:jc w:val="center"/>
                                <w:rPr>
                                  <w:rFonts w:ascii="Arial" w:hAnsi="Arial" w:cs="Arial"/>
                                  <w:color w:val="000000"/>
                                  <w:spacing w:val="-4"/>
                                  <w:sz w:val="18"/>
                                </w:rPr>
                              </w:pPr>
                            </w:p>
                            <w:p w14:paraId="3E2FF26F" w14:textId="77777777" w:rsidR="00776E11" w:rsidRDefault="00776E11" w:rsidP="00776E11">
                              <w:pPr>
                                <w:spacing w:after="0"/>
                                <w:jc w:val="center"/>
                                <w:rPr>
                                  <w:rFonts w:ascii="Arial" w:hAnsi="Arial" w:cs="Arial"/>
                                  <w:color w:val="000000"/>
                                  <w:spacing w:val="-4"/>
                                  <w:sz w:val="18"/>
                                </w:rPr>
                              </w:pPr>
                            </w:p>
                            <w:p w14:paraId="50746317" w14:textId="77777777" w:rsidR="00776E11" w:rsidRDefault="00776E11" w:rsidP="00776E11">
                              <w:pPr>
                                <w:spacing w:after="0"/>
                                <w:jc w:val="center"/>
                                <w:rPr>
                                  <w:rFonts w:ascii="Arial" w:hAnsi="Arial" w:cs="Arial"/>
                                  <w:color w:val="000000"/>
                                  <w:spacing w:val="-4"/>
                                  <w:sz w:val="18"/>
                                </w:rPr>
                              </w:pPr>
                            </w:p>
                            <w:p w14:paraId="1C0A503C" w14:textId="77777777" w:rsidR="00776E11" w:rsidRDefault="00776E11" w:rsidP="00776E11">
                              <w:pPr>
                                <w:spacing w:after="0"/>
                                <w:jc w:val="center"/>
                                <w:rPr>
                                  <w:rFonts w:ascii="Arial" w:hAnsi="Arial" w:cs="Arial"/>
                                  <w:color w:val="000000"/>
                                  <w:spacing w:val="-4"/>
                                  <w:sz w:val="18"/>
                                </w:rPr>
                              </w:pPr>
                              <w:r w:rsidRPr="0004158C">
                                <w:rPr>
                                  <w:rFonts w:ascii="Arial" w:hAnsi="Arial" w:cs="Arial"/>
                                  <w:color w:val="000000"/>
                                  <w:spacing w:val="-4"/>
                                  <w:sz w:val="18"/>
                                </w:rPr>
                                <w:t>Πηγή:</w:t>
                              </w:r>
                            </w:p>
                            <w:p w14:paraId="52B4D055" w14:textId="77777777" w:rsidR="00776E11" w:rsidRPr="0004158C" w:rsidRDefault="00776E11" w:rsidP="00776E11">
                              <w:pPr>
                                <w:jc w:val="center"/>
                                <w:rPr>
                                  <w:rFonts w:ascii="Arial" w:hAnsi="Arial" w:cs="Arial"/>
                                  <w:color w:val="000000"/>
                                  <w:spacing w:val="-4"/>
                                  <w:sz w:val="18"/>
                                </w:rPr>
                              </w:pPr>
                              <w:r>
                                <w:rPr>
                                  <w:rFonts w:ascii="Arial" w:hAnsi="Arial" w:cs="Arial"/>
                                  <w:color w:val="000000"/>
                                  <w:spacing w:val="-4"/>
                                  <w:sz w:val="18"/>
                                  <w:lang w:val="en-US"/>
                                </w:rPr>
                                <w:t>Bloomberg</w:t>
                              </w:r>
                              <w:r w:rsidRPr="0004158C">
                                <w:rPr>
                                  <w:rFonts w:ascii="Arial" w:hAnsi="Arial" w:cs="Arial"/>
                                  <w:color w:val="000000"/>
                                  <w:spacing w:val="-4"/>
                                  <w:sz w:val="18"/>
                                </w:rPr>
                                <w:t>, Alpha Bank</w:t>
                              </w:r>
                            </w:p>
                            <w:p w14:paraId="7DA9321B" w14:textId="77777777" w:rsidR="00776E11" w:rsidRPr="0004158C" w:rsidRDefault="00776E11" w:rsidP="00776E11">
                              <w:pPr>
                                <w:spacing w:after="0"/>
                                <w:jc w:val="center"/>
                                <w:rPr>
                                  <w:rFonts w:ascii="Arial" w:hAnsi="Arial" w:cs="Arial"/>
                                  <w:color w:val="000000"/>
                                  <w:spacing w:val="-4"/>
                                  <w:sz w:val="18"/>
                                </w:rPr>
                              </w:pPr>
                            </w:p>
                          </w:txbxContent>
                        </wps:txbx>
                        <wps:bodyPr rot="0" vert="horz" wrap="square" lIns="91440" tIns="45720" rIns="91440" bIns="45720" anchor="t" anchorCtr="0" upright="1">
                          <a:noAutofit/>
                        </wps:bodyPr>
                      </wps:wsp>
                      <wps:wsp>
                        <wps:cNvPr id="2" name="Freeform 364"/>
                        <wps:cNvSpPr>
                          <a:spLocks/>
                        </wps:cNvSpPr>
                        <wps:spPr bwMode="auto">
                          <a:xfrm>
                            <a:off x="11460" y="0"/>
                            <a:ext cx="60349"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50AADF" w14:textId="77777777" w:rsidR="00776E11" w:rsidRPr="00372EA9" w:rsidRDefault="00776E11" w:rsidP="00776E11">
                              <w:pPr>
                                <w:tabs>
                                  <w:tab w:val="left" w:pos="2410"/>
                                </w:tabs>
                                <w:spacing w:after="0" w:line="240" w:lineRule="auto"/>
                                <w:rPr>
                                  <w:rFonts w:ascii="Arial" w:eastAsia="Arial" w:hAnsi="Arial" w:cs="Arial"/>
                                  <w:color w:val="0E3B70"/>
                                  <w:sz w:val="8"/>
                                  <w:szCs w:val="8"/>
                                </w:rPr>
                              </w:pPr>
                            </w:p>
                            <w:p w14:paraId="6FB81BC1" w14:textId="77777777" w:rsidR="00776E11" w:rsidRDefault="00776E11" w:rsidP="00776E11">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Α</w:t>
                              </w:r>
                              <w:r w:rsidRPr="00470D64">
                                <w:rPr>
                                  <w:rFonts w:ascii="Arial" w:eastAsia="Arial" w:hAnsi="Arial" w:cs="Arial"/>
                                  <w:color w:val="0E3B70"/>
                                  <w:sz w:val="20"/>
                                  <w:szCs w:val="20"/>
                                </w:rPr>
                                <w:t xml:space="preserve">ποδόσεις 10ετών ομολόγων (%) και </w:t>
                              </w:r>
                              <w:proofErr w:type="spellStart"/>
                              <w:r w:rsidRPr="00470D64">
                                <w:rPr>
                                  <w:rFonts w:ascii="Arial" w:eastAsia="Arial" w:hAnsi="Arial" w:cs="Arial"/>
                                  <w:color w:val="0E3B70"/>
                                  <w:sz w:val="20"/>
                                  <w:szCs w:val="20"/>
                                </w:rPr>
                                <w:t>spreads</w:t>
                              </w:r>
                              <w:proofErr w:type="spellEnd"/>
                              <w:r w:rsidRPr="00470D64">
                                <w:rPr>
                                  <w:rFonts w:ascii="Arial" w:eastAsia="Arial" w:hAnsi="Arial" w:cs="Arial"/>
                                  <w:color w:val="0E3B70"/>
                                  <w:sz w:val="20"/>
                                  <w:szCs w:val="20"/>
                                </w:rPr>
                                <w:t xml:space="preserve"> έναντι 10ετούς γερμανικού ομολόγου</w:t>
                              </w:r>
                            </w:p>
                            <w:p w14:paraId="050DA6CA" w14:textId="77777777" w:rsidR="00776E11" w:rsidRPr="005F4DC6" w:rsidRDefault="00776E11" w:rsidP="00776E11">
                              <w:pPr>
                                <w:tabs>
                                  <w:tab w:val="left" w:pos="2410"/>
                                </w:tabs>
                                <w:spacing w:after="0" w:line="240" w:lineRule="auto"/>
                                <w:rPr>
                                  <w:rFonts w:ascii="Arial" w:hAnsi="Arial" w:cs="Arial"/>
                                  <w:sz w:val="20"/>
                                </w:rPr>
                              </w:pPr>
                              <w:r w:rsidRPr="0056099C">
                                <w:rPr>
                                  <w:rFonts w:ascii="Arial" w:hAnsi="Arial" w:cs="Arial"/>
                                  <w:noProof/>
                                  <w:sz w:val="20"/>
                                  <w:lang w:eastAsia="el-GR"/>
                                </w:rPr>
                                <w:drawing>
                                  <wp:inline distT="0" distB="0" distL="0" distR="0" wp14:anchorId="3FFBF64D" wp14:editId="4024BE84">
                                    <wp:extent cx="5868035" cy="3761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37616"/>
                                            </a:xfrm>
                                            <a:prstGeom prst="rect">
                                              <a:avLst/>
                                            </a:prstGeom>
                                            <a:noFill/>
                                            <a:ln>
                                              <a:noFill/>
                                            </a:ln>
                                          </pic:spPr>
                                        </pic:pic>
                                      </a:graphicData>
                                    </a:graphic>
                                  </wp:inline>
                                </w:drawing>
                              </w:r>
                              <w:r>
                                <w:rPr>
                                  <w:rFonts w:ascii="Arial" w:hAnsi="Arial" w:cs="Arial"/>
                                  <w:sz w:val="20"/>
                                </w:rPr>
                                <w:br/>
                              </w:r>
                              <w:r w:rsidRPr="00E719F4">
                                <w:rPr>
                                  <w:rFonts w:ascii="Arial" w:eastAsia="Arial" w:hAnsi="Arial" w:cs="Arial"/>
                                  <w:color w:val="0E3B70"/>
                                  <w:sz w:val="20"/>
                                  <w:szCs w:val="20"/>
                                </w:rPr>
                                <w:t xml:space="preserve"> </w:t>
                              </w:r>
                              <w:r w:rsidRPr="006772B2">
                                <w:rPr>
                                  <w:rFonts w:ascii="Arial" w:eastAsia="Arial" w:hAnsi="Arial" w:cs="Arial"/>
                                  <w:color w:val="0E3B70"/>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6B23972" id="Group 14" o:spid="_x0000_s1056" style="position:absolute;left:0;text-align:left;margin-left:0;margin-top:-.05pt;width:565.4pt;height:254.1pt;z-index:-251632640;mso-position-horizontal-relative:margin;mso-height-relative:margin" coordorigin="190" coordsize="7161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">
                <v:rect id="Rectangle 24" o:spid="_x0000_s1057" style="position:absolute;left:190;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" fillcolor="#e5e4de" stroked="f">
                  <v:textbox>
                    <w:txbxContent>
                      <w:p w14:paraId="45D6EAE8" w14:textId="77777777" w:rsidR="00776E11" w:rsidRPr="00B37933" w:rsidRDefault="00776E11" w:rsidP="00776E11">
                        <w:pPr>
                          <w:jc w:val="center"/>
                          <w:rPr>
                            <w:rFonts w:ascii="Arial" w:hAnsi="Arial" w:cs="Arial"/>
                            <w:color w:val="E24C37"/>
                            <w:spacing w:val="-4"/>
                            <w:sz w:val="18"/>
                          </w:rPr>
                        </w:pPr>
                        <w:r>
                          <w:rPr>
                            <w:rFonts w:ascii="Arial" w:hAnsi="Arial" w:cs="Arial"/>
                            <w:color w:val="E24C37"/>
                            <w:spacing w:val="-4"/>
                            <w:sz w:val="18"/>
                          </w:rPr>
                          <w:br/>
                        </w:r>
                        <w:r w:rsidRPr="00372EA9">
                          <w:rPr>
                            <w:rFonts w:ascii="Arial" w:hAnsi="Arial" w:cs="Arial"/>
                            <w:color w:val="E24C37"/>
                            <w:spacing w:val="-4"/>
                            <w:sz w:val="18"/>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11</w:t>
                        </w:r>
                      </w:p>
                      <w:p w14:paraId="60FE9C39" w14:textId="77777777" w:rsidR="00776E11" w:rsidRDefault="00776E11" w:rsidP="00776E11">
                        <w:pPr>
                          <w:jc w:val="center"/>
                          <w:rPr>
                            <w:rFonts w:ascii="Arial" w:hAnsi="Arial" w:cs="Arial"/>
                            <w:color w:val="E24C37"/>
                            <w:spacing w:val="-4"/>
                            <w:sz w:val="18"/>
                          </w:rPr>
                        </w:pPr>
                      </w:p>
                      <w:p w14:paraId="22BC1DA9" w14:textId="77777777" w:rsidR="00776E11" w:rsidRDefault="00776E11" w:rsidP="00776E11">
                        <w:pPr>
                          <w:jc w:val="center"/>
                          <w:rPr>
                            <w:rFonts w:ascii="Arial" w:hAnsi="Arial" w:cs="Arial"/>
                            <w:color w:val="E24C37"/>
                            <w:spacing w:val="-4"/>
                            <w:sz w:val="18"/>
                          </w:rPr>
                        </w:pPr>
                      </w:p>
                      <w:p w14:paraId="25CAA5E7" w14:textId="77777777" w:rsidR="00776E11" w:rsidRDefault="00776E11" w:rsidP="00776E11">
                        <w:pPr>
                          <w:jc w:val="center"/>
                          <w:rPr>
                            <w:rFonts w:ascii="Arial" w:hAnsi="Arial" w:cs="Arial"/>
                            <w:color w:val="E24C37"/>
                            <w:spacing w:val="-4"/>
                            <w:sz w:val="18"/>
                          </w:rPr>
                        </w:pPr>
                      </w:p>
                      <w:p w14:paraId="6A4B49A9" w14:textId="77777777" w:rsidR="00776E11" w:rsidRDefault="00776E11" w:rsidP="00776E11">
                        <w:pPr>
                          <w:jc w:val="center"/>
                          <w:rPr>
                            <w:rFonts w:ascii="Arial" w:hAnsi="Arial" w:cs="Arial"/>
                            <w:color w:val="E24C37"/>
                            <w:spacing w:val="-4"/>
                            <w:sz w:val="18"/>
                          </w:rPr>
                        </w:pPr>
                      </w:p>
                      <w:p w14:paraId="6555C1D1" w14:textId="77777777" w:rsidR="00776E11" w:rsidRDefault="00776E11" w:rsidP="00776E11">
                        <w:pPr>
                          <w:jc w:val="center"/>
                          <w:rPr>
                            <w:rFonts w:ascii="Arial" w:hAnsi="Arial" w:cs="Arial"/>
                            <w:color w:val="E24C37"/>
                            <w:spacing w:val="-4"/>
                            <w:sz w:val="18"/>
                          </w:rPr>
                        </w:pPr>
                      </w:p>
                      <w:p w14:paraId="25F95E92" w14:textId="77777777" w:rsidR="00776E11" w:rsidRDefault="00776E11" w:rsidP="00776E11">
                        <w:pPr>
                          <w:jc w:val="center"/>
                          <w:rPr>
                            <w:rFonts w:ascii="Arial" w:hAnsi="Arial" w:cs="Arial"/>
                            <w:color w:val="E24C37"/>
                            <w:spacing w:val="-4"/>
                            <w:sz w:val="18"/>
                          </w:rPr>
                        </w:pPr>
                      </w:p>
                      <w:p w14:paraId="6AADD33D" w14:textId="77777777" w:rsidR="00776E11" w:rsidRDefault="00776E11" w:rsidP="00776E11">
                        <w:pPr>
                          <w:jc w:val="center"/>
                          <w:rPr>
                            <w:rFonts w:ascii="Arial" w:hAnsi="Arial" w:cs="Arial"/>
                            <w:color w:val="E24C37"/>
                            <w:spacing w:val="-4"/>
                            <w:sz w:val="18"/>
                          </w:rPr>
                        </w:pPr>
                      </w:p>
                      <w:p w14:paraId="298DC0F3" w14:textId="77777777" w:rsidR="00776E11" w:rsidRDefault="00776E11" w:rsidP="00776E11">
                        <w:pPr>
                          <w:spacing w:after="0"/>
                          <w:jc w:val="center"/>
                          <w:rPr>
                            <w:rFonts w:ascii="Arial" w:hAnsi="Arial" w:cs="Arial"/>
                            <w:color w:val="000000"/>
                            <w:spacing w:val="-4"/>
                            <w:sz w:val="18"/>
                          </w:rPr>
                        </w:pPr>
                      </w:p>
                      <w:p w14:paraId="3E2FF26F" w14:textId="77777777" w:rsidR="00776E11" w:rsidRDefault="00776E11" w:rsidP="00776E11">
                        <w:pPr>
                          <w:spacing w:after="0"/>
                          <w:jc w:val="center"/>
                          <w:rPr>
                            <w:rFonts w:ascii="Arial" w:hAnsi="Arial" w:cs="Arial"/>
                            <w:color w:val="000000"/>
                            <w:spacing w:val="-4"/>
                            <w:sz w:val="18"/>
                          </w:rPr>
                        </w:pPr>
                      </w:p>
                      <w:p w14:paraId="50746317" w14:textId="77777777" w:rsidR="00776E11" w:rsidRDefault="00776E11" w:rsidP="00776E11">
                        <w:pPr>
                          <w:spacing w:after="0"/>
                          <w:jc w:val="center"/>
                          <w:rPr>
                            <w:rFonts w:ascii="Arial" w:hAnsi="Arial" w:cs="Arial"/>
                            <w:color w:val="000000"/>
                            <w:spacing w:val="-4"/>
                            <w:sz w:val="18"/>
                          </w:rPr>
                        </w:pPr>
                      </w:p>
                      <w:p w14:paraId="1C0A503C" w14:textId="77777777" w:rsidR="00776E11" w:rsidRDefault="00776E11" w:rsidP="00776E11">
                        <w:pPr>
                          <w:spacing w:after="0"/>
                          <w:jc w:val="center"/>
                          <w:rPr>
                            <w:rFonts w:ascii="Arial" w:hAnsi="Arial" w:cs="Arial"/>
                            <w:color w:val="000000"/>
                            <w:spacing w:val="-4"/>
                            <w:sz w:val="18"/>
                          </w:rPr>
                        </w:pPr>
                        <w:r w:rsidRPr="0004158C">
                          <w:rPr>
                            <w:rFonts w:ascii="Arial" w:hAnsi="Arial" w:cs="Arial"/>
                            <w:color w:val="000000"/>
                            <w:spacing w:val="-4"/>
                            <w:sz w:val="18"/>
                          </w:rPr>
                          <w:t>Πηγή:</w:t>
                        </w:r>
                      </w:p>
                      <w:p w14:paraId="52B4D055" w14:textId="77777777" w:rsidR="00776E11" w:rsidRPr="0004158C" w:rsidRDefault="00776E11" w:rsidP="00776E11">
                        <w:pPr>
                          <w:jc w:val="center"/>
                          <w:rPr>
                            <w:rFonts w:ascii="Arial" w:hAnsi="Arial" w:cs="Arial"/>
                            <w:color w:val="000000"/>
                            <w:spacing w:val="-4"/>
                            <w:sz w:val="18"/>
                          </w:rPr>
                        </w:pPr>
                        <w:r>
                          <w:rPr>
                            <w:rFonts w:ascii="Arial" w:hAnsi="Arial" w:cs="Arial"/>
                            <w:color w:val="000000"/>
                            <w:spacing w:val="-4"/>
                            <w:sz w:val="18"/>
                            <w:lang w:val="en-US"/>
                          </w:rPr>
                          <w:t>Bloomberg</w:t>
                        </w:r>
                        <w:r w:rsidRPr="0004158C">
                          <w:rPr>
                            <w:rFonts w:ascii="Arial" w:hAnsi="Arial" w:cs="Arial"/>
                            <w:color w:val="000000"/>
                            <w:spacing w:val="-4"/>
                            <w:sz w:val="18"/>
                          </w:rPr>
                          <w:t>, Alpha Bank</w:t>
                        </w:r>
                      </w:p>
                      <w:p w14:paraId="7DA9321B" w14:textId="77777777" w:rsidR="00776E11" w:rsidRPr="0004158C" w:rsidRDefault="00776E11" w:rsidP="00776E11">
                        <w:pPr>
                          <w:spacing w:after="0"/>
                          <w:jc w:val="center"/>
                          <w:rPr>
                            <w:rFonts w:ascii="Arial" w:hAnsi="Arial" w:cs="Arial"/>
                            <w:color w:val="000000"/>
                            <w:spacing w:val="-4"/>
                            <w:sz w:val="18"/>
                          </w:rPr>
                        </w:pPr>
                      </w:p>
                    </w:txbxContent>
                  </v:textbox>
                </v:rect>
                <v:shape id="Freeform 364" o:spid="_x0000_s1058" style="position:absolute;left:11460;width:60349;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" adj="-11796480,,5400" path="m9585,l,,,4123r9585,l9585,xe" fillcolor="#e5e4de" stroked="f">
                  <v:stroke joinstyle="round"/>
                  <v:formulas/>
                  <v:path arrowok="t" o:connecttype="custom" o:connectlocs="38317617,0;0,0;0,16754221;38317617,16754221;38317617,0" o:connectangles="0,0,0,0,0" textboxrect="0,0,9586,4124"/>
                  <v:textbox>
                    <w:txbxContent>
                      <w:p w14:paraId="5650AADF" w14:textId="77777777" w:rsidR="00776E11" w:rsidRPr="00372EA9" w:rsidRDefault="00776E11" w:rsidP="00776E11">
                        <w:pPr>
                          <w:tabs>
                            <w:tab w:val="left" w:pos="2410"/>
                          </w:tabs>
                          <w:spacing w:after="0" w:line="240" w:lineRule="auto"/>
                          <w:rPr>
                            <w:rFonts w:ascii="Arial" w:eastAsia="Arial" w:hAnsi="Arial" w:cs="Arial"/>
                            <w:color w:val="0E3B70"/>
                            <w:sz w:val="8"/>
                            <w:szCs w:val="8"/>
                          </w:rPr>
                        </w:pPr>
                      </w:p>
                      <w:p w14:paraId="6FB81BC1" w14:textId="77777777" w:rsidR="00776E11" w:rsidRDefault="00776E11" w:rsidP="00776E11">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Α</w:t>
                        </w:r>
                        <w:r w:rsidRPr="00470D64">
                          <w:rPr>
                            <w:rFonts w:ascii="Arial" w:eastAsia="Arial" w:hAnsi="Arial" w:cs="Arial"/>
                            <w:color w:val="0E3B70"/>
                            <w:sz w:val="20"/>
                            <w:szCs w:val="20"/>
                          </w:rPr>
                          <w:t>ποδόσεις 10ετών ομολόγων (%) και spreads έναντι 10ετούς γερμανικού ομολόγου</w:t>
                        </w:r>
                      </w:p>
                      <w:p w14:paraId="050DA6CA" w14:textId="77777777" w:rsidR="00776E11" w:rsidRPr="005F4DC6" w:rsidRDefault="00776E11" w:rsidP="00776E11">
                        <w:pPr>
                          <w:tabs>
                            <w:tab w:val="left" w:pos="2410"/>
                          </w:tabs>
                          <w:spacing w:after="0" w:line="240" w:lineRule="auto"/>
                          <w:rPr>
                            <w:rFonts w:ascii="Arial" w:hAnsi="Arial" w:cs="Arial"/>
                            <w:sz w:val="20"/>
                          </w:rPr>
                        </w:pPr>
                        <w:r w:rsidRPr="0056099C">
                          <w:rPr>
                            <w:rFonts w:ascii="Arial" w:hAnsi="Arial" w:cs="Arial"/>
                            <w:noProof/>
                            <w:sz w:val="20"/>
                            <w:lang w:eastAsia="el-GR"/>
                          </w:rPr>
                          <w:drawing>
                            <wp:inline distT="0" distB="0" distL="0" distR="0" wp14:anchorId="3FFBF64D" wp14:editId="4024BE84">
                              <wp:extent cx="5868035" cy="3761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37616"/>
                                      </a:xfrm>
                                      <a:prstGeom prst="rect">
                                        <a:avLst/>
                                      </a:prstGeom>
                                      <a:noFill/>
                                      <a:ln>
                                        <a:noFill/>
                                      </a:ln>
                                    </pic:spPr>
                                  </pic:pic>
                                </a:graphicData>
                              </a:graphic>
                            </wp:inline>
                          </w:drawing>
                        </w:r>
                        <w:r>
                          <w:rPr>
                            <w:rFonts w:ascii="Arial" w:hAnsi="Arial" w:cs="Arial"/>
                            <w:sz w:val="20"/>
                          </w:rPr>
                          <w:br/>
                        </w:r>
                        <w:r w:rsidRPr="00E719F4">
                          <w:rPr>
                            <w:rFonts w:ascii="Arial" w:eastAsia="Arial" w:hAnsi="Arial" w:cs="Arial"/>
                            <w:color w:val="0E3B70"/>
                            <w:sz w:val="20"/>
                            <w:szCs w:val="20"/>
                          </w:rPr>
                          <w:t xml:space="preserve"> </w:t>
                        </w:r>
                        <w:r w:rsidRPr="006772B2">
                          <w:rPr>
                            <w:rFonts w:ascii="Arial" w:eastAsia="Arial" w:hAnsi="Arial" w:cs="Arial"/>
                            <w:color w:val="0E3B70"/>
                            <w:sz w:val="20"/>
                            <w:szCs w:val="20"/>
                          </w:rPr>
                          <w:t xml:space="preserve"> </w:t>
                        </w:r>
                      </w:p>
                    </w:txbxContent>
                  </v:textbox>
                </v:shape>
                <w10:wrap anchorx="margin"/>
              </v:group>
            </w:pict>
          </mc:Fallback>
        </mc:AlternateContent>
      </w:r>
    </w:p>
    <w:p w14:paraId="216A3036" w14:textId="77777777" w:rsidR="00776E11" w:rsidRDefault="00776E11" w:rsidP="00776E11">
      <w:pPr>
        <w:ind w:left="1780" w:right="170"/>
        <w:rPr>
          <w:rFonts w:ascii="Arial" w:eastAsia="Arial" w:hAnsi="Arial" w:cs="Arial"/>
          <w:color w:val="231F20"/>
          <w:sz w:val="20"/>
          <w:szCs w:val="19"/>
        </w:rPr>
      </w:pPr>
    </w:p>
    <w:p w14:paraId="01C849B5" w14:textId="77777777" w:rsidR="00776E11" w:rsidRPr="009813DA" w:rsidRDefault="00776E11" w:rsidP="00776E11">
      <w:pPr>
        <w:pStyle w:val="a9"/>
        <w:spacing w:after="0" w:line="240" w:lineRule="auto"/>
        <w:ind w:left="2160"/>
        <w:rPr>
          <w:rFonts w:ascii="Arial" w:hAnsi="Arial" w:cs="Arial"/>
          <w:sz w:val="18"/>
        </w:rPr>
      </w:pPr>
      <w:r w:rsidRPr="00C96EAC">
        <w:rPr>
          <w:noProof/>
          <w:lang w:eastAsia="el-GR"/>
        </w:rPr>
        <w:drawing>
          <wp:inline distT="0" distB="0" distL="0" distR="0" wp14:anchorId="71E1B563" wp14:editId="7AF8985D">
            <wp:extent cx="5686425" cy="2695575"/>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686425" cy="2695575"/>
                    </a:xfrm>
                    <a:prstGeom prst="rect">
                      <a:avLst/>
                    </a:prstGeom>
                    <a:noFill/>
                    <a:ln>
                      <a:noFill/>
                    </a:ln>
                  </pic:spPr>
                </pic:pic>
              </a:graphicData>
            </a:graphic>
          </wp:inline>
        </w:drawing>
      </w:r>
    </w:p>
    <w:p w14:paraId="7BC0602B" w14:textId="77777777" w:rsidR="00776E11" w:rsidRPr="009813DA" w:rsidRDefault="00776E11" w:rsidP="00776E11">
      <w:pPr>
        <w:pStyle w:val="a9"/>
        <w:spacing w:after="0" w:line="240" w:lineRule="auto"/>
        <w:ind w:left="2160"/>
        <w:rPr>
          <w:rFonts w:ascii="Arial" w:hAnsi="Arial" w:cs="Arial"/>
          <w:sz w:val="18"/>
        </w:rPr>
      </w:pPr>
    </w:p>
    <w:p w14:paraId="02366EED" w14:textId="77777777" w:rsidR="00F37B49" w:rsidRDefault="00F37B49" w:rsidP="0047660B">
      <w:pPr>
        <w:pStyle w:val="a4"/>
        <w:kinsoku w:val="0"/>
        <w:overflowPunct w:val="0"/>
        <w:spacing w:before="69"/>
        <w:ind w:left="1780" w:right="170"/>
        <w:jc w:val="both"/>
        <w:rPr>
          <w:color w:val="231F20"/>
          <w:sz w:val="20"/>
          <w:szCs w:val="20"/>
          <w:lang w:val="el-GR"/>
        </w:rPr>
      </w:pPr>
    </w:p>
    <w:p w14:paraId="7D4A1F7C" w14:textId="77777777" w:rsidR="00B14DB5" w:rsidRDefault="00B14DB5">
      <w:pPr>
        <w:rPr>
          <w:rFonts w:ascii="Arial" w:eastAsia="Arial" w:hAnsi="Arial" w:cs="Arial"/>
          <w:color w:val="231F20"/>
          <w:sz w:val="20"/>
          <w:szCs w:val="20"/>
        </w:rPr>
      </w:pPr>
      <w:r>
        <w:rPr>
          <w:color w:val="231F20"/>
          <w:sz w:val="20"/>
          <w:szCs w:val="20"/>
        </w:rPr>
        <w:br w:type="page"/>
      </w:r>
    </w:p>
    <w:p w14:paraId="1FA6CA64" w14:textId="77777777" w:rsidR="002361BB" w:rsidRDefault="002361BB" w:rsidP="005A0D28">
      <w:pPr>
        <w:pStyle w:val="1"/>
        <w:pBdr>
          <w:top w:val="single" w:sz="8" w:space="1" w:color="00B0F0"/>
          <w:bottom w:val="single" w:sz="8" w:space="1" w:color="00B0F0"/>
        </w:pBdr>
        <w:kinsoku w:val="0"/>
        <w:overflowPunct w:val="0"/>
        <w:ind w:left="1780" w:right="227"/>
        <w:rPr>
          <w:color w:val="63A1AA"/>
        </w:rPr>
      </w:pPr>
      <w:r>
        <w:rPr>
          <w:color w:val="63A1AA"/>
        </w:rPr>
        <w:lastRenderedPageBreak/>
        <w:t xml:space="preserve">Η </w:t>
      </w:r>
      <w:r w:rsidR="00F617ED">
        <w:rPr>
          <w:color w:val="63A1AA"/>
        </w:rPr>
        <w:t>Ελληνική Οικονομία σε Αριθμούς</w:t>
      </w:r>
    </w:p>
    <w:p w14:paraId="5CAF2FEC" w14:textId="77777777" w:rsidR="001029B9" w:rsidRDefault="001029B9" w:rsidP="001029B9">
      <w:pPr>
        <w:spacing w:after="0"/>
        <w:ind w:left="1780" w:right="170"/>
        <w:rPr>
          <w:rFonts w:ascii="Arial" w:eastAsia="Arial" w:hAnsi="Arial" w:cs="Arial"/>
          <w:color w:val="231F20"/>
          <w:sz w:val="20"/>
          <w:szCs w:val="19"/>
        </w:rPr>
      </w:pPr>
    </w:p>
    <w:p w14:paraId="47CE6985" w14:textId="40B4D281" w:rsidR="00E461D4" w:rsidRDefault="0068478C" w:rsidP="0047660B">
      <w:pPr>
        <w:ind w:left="1780" w:right="170"/>
        <w:rPr>
          <w:rFonts w:ascii="Arial" w:eastAsia="Arial" w:hAnsi="Arial" w:cs="Arial"/>
          <w:color w:val="231F20"/>
          <w:sz w:val="20"/>
          <w:szCs w:val="19"/>
        </w:rPr>
      </w:pPr>
      <w:r w:rsidRPr="0068478C">
        <w:rPr>
          <w:noProof/>
          <w:lang w:eastAsia="el-GR"/>
        </w:rPr>
        <w:drawing>
          <wp:inline distT="0" distB="0" distL="0" distR="0" wp14:anchorId="4CE8BA77" wp14:editId="47A5DA4F">
            <wp:extent cx="6086475" cy="88677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86475" cy="8867775"/>
                    </a:xfrm>
                    <a:prstGeom prst="rect">
                      <a:avLst/>
                    </a:prstGeom>
                    <a:noFill/>
                    <a:ln>
                      <a:noFill/>
                    </a:ln>
                  </pic:spPr>
                </pic:pic>
              </a:graphicData>
            </a:graphic>
          </wp:inline>
        </w:drawing>
      </w:r>
    </w:p>
    <w:sectPr w:rsidR="00E461D4" w:rsidSect="0005468B">
      <w:headerReference w:type="default" r:id="rId47"/>
      <w:footerReference w:type="default" r:id="rId48"/>
      <w:headerReference w:type="first" r:id="rId49"/>
      <w:footerReference w:type="first" r:id="rId50"/>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900F" w14:textId="77777777" w:rsidR="00E54EFA" w:rsidRDefault="00E54EFA" w:rsidP="002453D6">
      <w:pPr>
        <w:spacing w:after="0" w:line="240" w:lineRule="auto"/>
      </w:pPr>
      <w:r>
        <w:separator/>
      </w:r>
    </w:p>
  </w:endnote>
  <w:endnote w:type="continuationSeparator" w:id="0">
    <w:p w14:paraId="74E5AE33" w14:textId="77777777" w:rsidR="00E54EFA" w:rsidRDefault="00E54EFA" w:rsidP="002453D6">
      <w:pPr>
        <w:spacing w:after="0" w:line="240" w:lineRule="auto"/>
      </w:pPr>
      <w:r>
        <w:continuationSeparator/>
      </w:r>
    </w:p>
  </w:endnote>
  <w:endnote w:id="1">
    <w:p w14:paraId="3C246BFD" w14:textId="77777777" w:rsidR="00FC5C38" w:rsidRPr="00F75786" w:rsidRDefault="00FC5C38" w:rsidP="00FC5C38">
      <w:pPr>
        <w:pStyle w:val="a9"/>
        <w:ind w:left="1758" w:right="429"/>
        <w:jc w:val="both"/>
        <w:rPr>
          <w:rFonts w:ascii="Arial" w:hAnsi="Arial" w:cs="Arial"/>
          <w:sz w:val="18"/>
          <w:szCs w:val="18"/>
        </w:rPr>
      </w:pPr>
      <w:r w:rsidRPr="00F75786">
        <w:rPr>
          <w:rStyle w:val="aa"/>
          <w:rFonts w:ascii="Arial" w:hAnsi="Arial" w:cs="Arial"/>
          <w:sz w:val="18"/>
          <w:szCs w:val="18"/>
        </w:rPr>
        <w:endnoteRef/>
      </w:r>
      <w:r w:rsidRPr="00F75786">
        <w:rPr>
          <w:rFonts w:ascii="Arial" w:hAnsi="Arial" w:cs="Arial"/>
          <w:sz w:val="18"/>
          <w:szCs w:val="18"/>
        </w:rPr>
        <w:t xml:space="preserve"> Πρόκειται για τον Πυρήνα του Πληθωρισμού, ο οποίος, σύμφωνα με τον ορισμό της ΕΛΣΤΑΤ υπολογίζεται από το Δείκτη Τιμών Καταναλωτή εξαιρώντας τις ομάδες: Διατροφή και μη αλκοολούχα ποτά, Αλκοολούχα ποτά, Καπνός και Προϊόντα Ενέργειας.</w:t>
      </w:r>
    </w:p>
  </w:endnote>
  <w:endnote w:id="2">
    <w:p w14:paraId="5C4FAF7C" w14:textId="77777777" w:rsidR="00FC5C38" w:rsidRPr="00F75786" w:rsidRDefault="00FC5C38" w:rsidP="00FC5C38">
      <w:pPr>
        <w:pStyle w:val="a9"/>
        <w:spacing w:after="0" w:line="240" w:lineRule="auto"/>
        <w:ind w:left="1758" w:right="429"/>
        <w:jc w:val="both"/>
        <w:rPr>
          <w:rFonts w:ascii="Arial" w:hAnsi="Arial" w:cs="Arial"/>
          <w:sz w:val="18"/>
          <w:szCs w:val="18"/>
        </w:rPr>
      </w:pPr>
      <w:r w:rsidRPr="00F75786">
        <w:rPr>
          <w:rStyle w:val="aa"/>
          <w:rFonts w:ascii="Arial" w:hAnsi="Arial" w:cs="Arial"/>
          <w:sz w:val="18"/>
          <w:szCs w:val="18"/>
        </w:rPr>
        <w:endnoteRef/>
      </w:r>
      <w:r w:rsidRPr="00F75786">
        <w:rPr>
          <w:rFonts w:ascii="Arial" w:hAnsi="Arial" w:cs="Arial"/>
          <w:sz w:val="18"/>
          <w:szCs w:val="18"/>
        </w:rPr>
        <w:t xml:space="preserve"> Ο Εναρμονισμένος Δείκτης Τιμών Καταναλωτή διασφαλίζει τη συγκρισιμότητα μεταξύ των χωρών της ΕΕ-2</w:t>
      </w:r>
      <w:r w:rsidRPr="00DB4141">
        <w:rPr>
          <w:rFonts w:ascii="Arial" w:hAnsi="Arial" w:cs="Arial"/>
          <w:sz w:val="18"/>
          <w:szCs w:val="18"/>
        </w:rPr>
        <w:t>7</w:t>
      </w:r>
      <w:r w:rsidRPr="00F75786">
        <w:rPr>
          <w:rFonts w:ascii="Arial" w:hAnsi="Arial" w:cs="Arial"/>
          <w:sz w:val="18"/>
          <w:szCs w:val="18"/>
        </w:rPr>
        <w:t>. Οι κύριες διαφορές μεταξύ του εναρμονισμένου και του εθνικού δείκτη είναι:</w:t>
      </w:r>
    </w:p>
    <w:p w14:paraId="780C1B6F" w14:textId="77777777" w:rsidR="00FC5C38" w:rsidRPr="00F75786" w:rsidRDefault="00FC5C38" w:rsidP="00FC5C38">
      <w:pPr>
        <w:pStyle w:val="a9"/>
        <w:spacing w:after="0" w:line="240" w:lineRule="auto"/>
        <w:ind w:left="1758" w:right="429"/>
        <w:jc w:val="both"/>
        <w:rPr>
          <w:rFonts w:ascii="Arial" w:hAnsi="Arial" w:cs="Arial"/>
          <w:sz w:val="18"/>
          <w:szCs w:val="18"/>
        </w:rPr>
      </w:pPr>
    </w:p>
    <w:p w14:paraId="0385670A" w14:textId="77777777" w:rsidR="00FC5C38" w:rsidRPr="00F75786" w:rsidRDefault="00FC5C38" w:rsidP="00FC5C38">
      <w:pPr>
        <w:pStyle w:val="a9"/>
        <w:numPr>
          <w:ilvl w:val="0"/>
          <w:numId w:val="8"/>
        </w:numPr>
        <w:ind w:left="2268" w:right="429"/>
        <w:rPr>
          <w:rFonts w:ascii="Arial" w:hAnsi="Arial" w:cs="Arial"/>
          <w:sz w:val="18"/>
          <w:szCs w:val="18"/>
        </w:rPr>
      </w:pPr>
      <w:r w:rsidRPr="00F75786">
        <w:rPr>
          <w:rFonts w:ascii="Arial" w:hAnsi="Arial" w:cs="Arial"/>
          <w:sz w:val="18"/>
          <w:szCs w:val="18"/>
        </w:rPr>
        <w:t>Το έτος αναφοράς του ΕνΔΤΚ είναι το 2015=100,0 και του εθνικού ΔΤΚ το 2009=100,0.</w:t>
      </w:r>
    </w:p>
    <w:p w14:paraId="2FCEABE6" w14:textId="77777777" w:rsidR="00FC5C38" w:rsidRPr="00F75786" w:rsidRDefault="00FC5C38" w:rsidP="00FC5C38">
      <w:pPr>
        <w:pStyle w:val="a9"/>
        <w:numPr>
          <w:ilvl w:val="0"/>
          <w:numId w:val="8"/>
        </w:numPr>
        <w:ind w:left="2268" w:right="429"/>
        <w:rPr>
          <w:rFonts w:ascii="Arial" w:hAnsi="Arial" w:cs="Arial"/>
          <w:sz w:val="18"/>
          <w:szCs w:val="18"/>
        </w:rPr>
      </w:pPr>
      <w:r w:rsidRPr="00F75786">
        <w:rPr>
          <w:rFonts w:ascii="Arial" w:hAnsi="Arial" w:cs="Arial"/>
          <w:sz w:val="18"/>
          <w:szCs w:val="18"/>
        </w:rPr>
        <w:t xml:space="preserve">Ο ΕνΔΤΚ καλύπτει τις καταναλωτικές δαπάνες που πραγματοποιούνται στην οικονομική επικράτεια της Χώρας από μόνιμους ή μη μόνιμους κάτοικους, ενώ ο εθνικός ΔΤΚ καλύπτει τις καταναλωτικές δαπάνες των ιδιωτικών νοικοκυριών μόνιμων κατοίκων στην οικονομική επικράτεια και στην αλλοδαπή. </w:t>
      </w:r>
    </w:p>
    <w:p w14:paraId="26A5520D" w14:textId="77777777" w:rsidR="00FC5C38" w:rsidRPr="00F75786" w:rsidRDefault="00FC5C38" w:rsidP="00FC5C38">
      <w:pPr>
        <w:pStyle w:val="a9"/>
        <w:numPr>
          <w:ilvl w:val="0"/>
          <w:numId w:val="8"/>
        </w:numPr>
        <w:ind w:left="2268" w:right="429"/>
        <w:rPr>
          <w:rFonts w:ascii="Arial" w:hAnsi="Arial" w:cs="Arial"/>
          <w:sz w:val="18"/>
          <w:szCs w:val="18"/>
        </w:rPr>
      </w:pPr>
      <w:r w:rsidRPr="00F75786">
        <w:rPr>
          <w:rFonts w:ascii="Arial" w:hAnsi="Arial" w:cs="Arial"/>
          <w:sz w:val="18"/>
          <w:szCs w:val="18"/>
        </w:rPr>
        <w:t>Οι συντελεστές στάθμισης των ειδών του ΕνΔΤΚ υπολογίζονται βάσει στοιχείων των Εθνικών Λογαριασμών και της Έρευνας Οικογενειακών Προϋπολογισμών (ΕΟΠ), ενώ του εθνικού ΔΤΚ υπολογίζονται βάσει στοιχείων της ΕΟΠ.</w:t>
      </w:r>
    </w:p>
    <w:p w14:paraId="2F4978BE" w14:textId="77777777" w:rsidR="00FC5C38" w:rsidRPr="00F75786" w:rsidRDefault="00FC5C38" w:rsidP="00FC5C38">
      <w:pPr>
        <w:pStyle w:val="a9"/>
        <w:spacing w:after="0" w:line="240" w:lineRule="auto"/>
        <w:ind w:left="2160"/>
        <w:rPr>
          <w:rFonts w:ascii="Arial" w:hAnsi="Arial" w:cs="Arial"/>
          <w:sz w:val="18"/>
          <w:szCs w:val="18"/>
        </w:rPr>
      </w:pPr>
    </w:p>
    <w:p w14:paraId="30A9D775" w14:textId="77777777" w:rsidR="00FC5C38" w:rsidRDefault="00FC5C38" w:rsidP="00FC5C38">
      <w:pPr>
        <w:pStyle w:val="a9"/>
        <w:spacing w:after="0" w:line="240" w:lineRule="auto"/>
        <w:ind w:left="2160"/>
        <w:rPr>
          <w:rFonts w:ascii="Arial" w:hAnsi="Arial" w:cs="Arial"/>
          <w:sz w:val="18"/>
        </w:rPr>
      </w:pPr>
    </w:p>
    <w:p w14:paraId="7EBB7373" w14:textId="77777777" w:rsidR="00FC5C38" w:rsidRDefault="00FC5C38" w:rsidP="00FC5C38">
      <w:pPr>
        <w:pStyle w:val="a9"/>
        <w:spacing w:after="0" w:line="240" w:lineRule="auto"/>
        <w:ind w:left="2160"/>
        <w:rPr>
          <w:rFonts w:ascii="Arial" w:hAnsi="Arial" w:cs="Arial"/>
          <w:sz w:val="18"/>
        </w:rPr>
      </w:pPr>
    </w:p>
    <w:p w14:paraId="7848FBB5" w14:textId="77777777" w:rsidR="00FC5C38" w:rsidRDefault="00FC5C38" w:rsidP="00FC5C38">
      <w:pPr>
        <w:pStyle w:val="a9"/>
        <w:spacing w:after="0" w:line="240" w:lineRule="auto"/>
        <w:ind w:left="2160"/>
        <w:rPr>
          <w:rFonts w:ascii="Arial" w:hAnsi="Arial" w:cs="Arial"/>
          <w:sz w:val="18"/>
        </w:rPr>
      </w:pPr>
    </w:p>
    <w:p w14:paraId="22ED558D" w14:textId="77777777" w:rsidR="00FC5C38" w:rsidRDefault="00FC5C38" w:rsidP="00FC5C38">
      <w:pPr>
        <w:pStyle w:val="a9"/>
        <w:spacing w:after="0" w:line="240" w:lineRule="auto"/>
        <w:ind w:left="2160"/>
        <w:rPr>
          <w:rFonts w:ascii="Arial" w:hAnsi="Arial" w:cs="Arial"/>
          <w:sz w:val="18"/>
        </w:rPr>
      </w:pPr>
    </w:p>
    <w:p w14:paraId="05F7D360" w14:textId="77777777" w:rsidR="00FC5C38" w:rsidRDefault="00FC5C38" w:rsidP="00FC5C38">
      <w:pPr>
        <w:pStyle w:val="a9"/>
        <w:spacing w:after="0" w:line="240" w:lineRule="auto"/>
        <w:ind w:left="2160"/>
        <w:rPr>
          <w:rFonts w:ascii="Arial" w:hAnsi="Arial" w:cs="Arial"/>
          <w:sz w:val="18"/>
        </w:rPr>
      </w:pPr>
    </w:p>
    <w:p w14:paraId="0F74B27D" w14:textId="77777777" w:rsidR="00FC5C38" w:rsidRDefault="00FC5C38" w:rsidP="00FC5C38">
      <w:pPr>
        <w:pStyle w:val="a9"/>
        <w:spacing w:after="0" w:line="240" w:lineRule="auto"/>
        <w:ind w:left="2160"/>
        <w:rPr>
          <w:rFonts w:ascii="Arial" w:hAnsi="Arial" w:cs="Arial"/>
          <w:sz w:val="18"/>
        </w:rPr>
      </w:pPr>
    </w:p>
    <w:p w14:paraId="0AF02A1F" w14:textId="77777777" w:rsidR="00FC5C38" w:rsidRDefault="00FC5C38" w:rsidP="00FC5C38">
      <w:pPr>
        <w:pStyle w:val="a9"/>
        <w:spacing w:after="0" w:line="240" w:lineRule="auto"/>
        <w:ind w:left="2160"/>
        <w:rPr>
          <w:rFonts w:ascii="Arial" w:hAnsi="Arial" w:cs="Arial"/>
          <w:sz w:val="18"/>
        </w:rPr>
      </w:pPr>
    </w:p>
    <w:p w14:paraId="3A8CB064" w14:textId="77777777" w:rsidR="00FC5C38" w:rsidRDefault="00FC5C38" w:rsidP="00FC5C38">
      <w:pPr>
        <w:pStyle w:val="a9"/>
        <w:spacing w:after="0" w:line="240" w:lineRule="auto"/>
        <w:ind w:left="2160"/>
        <w:rPr>
          <w:rFonts w:ascii="Arial" w:hAnsi="Arial" w:cs="Arial"/>
          <w:sz w:val="18"/>
        </w:rPr>
      </w:pPr>
    </w:p>
    <w:p w14:paraId="4257D0F5" w14:textId="77777777" w:rsidR="00FC5C38" w:rsidRDefault="00FC5C38" w:rsidP="00FC5C38">
      <w:pPr>
        <w:pStyle w:val="a9"/>
        <w:spacing w:after="0" w:line="240" w:lineRule="auto"/>
        <w:ind w:left="2160"/>
        <w:rPr>
          <w:rFonts w:ascii="Arial" w:hAnsi="Arial" w:cs="Arial"/>
          <w:sz w:val="18"/>
        </w:rPr>
      </w:pPr>
    </w:p>
    <w:p w14:paraId="3DF81EAC" w14:textId="77777777" w:rsidR="00FC5C38" w:rsidRDefault="00FC5C38" w:rsidP="00FC5C38">
      <w:pPr>
        <w:pStyle w:val="a9"/>
        <w:spacing w:after="0" w:line="240" w:lineRule="auto"/>
        <w:ind w:left="2160"/>
        <w:rPr>
          <w:rFonts w:ascii="Arial" w:hAnsi="Arial" w:cs="Arial"/>
          <w:sz w:val="18"/>
        </w:rPr>
      </w:pPr>
    </w:p>
    <w:p w14:paraId="72BD73E3" w14:textId="77777777" w:rsidR="00FC5C38" w:rsidRDefault="00FC5C38" w:rsidP="00FC5C38">
      <w:pPr>
        <w:pStyle w:val="a9"/>
        <w:spacing w:after="0" w:line="240" w:lineRule="auto"/>
        <w:ind w:left="2160"/>
        <w:rPr>
          <w:rFonts w:ascii="Arial" w:hAnsi="Arial" w:cs="Arial"/>
          <w:sz w:val="18"/>
        </w:rPr>
      </w:pPr>
    </w:p>
    <w:p w14:paraId="6913CFA3" w14:textId="77777777" w:rsidR="00FC5C38" w:rsidRDefault="00FC5C38" w:rsidP="00FC5C38">
      <w:pPr>
        <w:pStyle w:val="a9"/>
        <w:spacing w:after="0" w:line="240" w:lineRule="auto"/>
        <w:ind w:left="2160"/>
        <w:rPr>
          <w:rFonts w:ascii="Arial" w:hAnsi="Arial" w:cs="Arial"/>
          <w:sz w:val="18"/>
        </w:rPr>
      </w:pPr>
    </w:p>
    <w:p w14:paraId="381189F1" w14:textId="77777777" w:rsidR="00FC5C38" w:rsidRDefault="00FC5C38" w:rsidP="00FC5C38">
      <w:pPr>
        <w:pStyle w:val="a9"/>
        <w:spacing w:after="0" w:line="240" w:lineRule="auto"/>
        <w:ind w:left="2160"/>
        <w:rPr>
          <w:rFonts w:ascii="Arial" w:hAnsi="Arial" w:cs="Arial"/>
          <w:sz w:val="18"/>
        </w:rPr>
      </w:pPr>
    </w:p>
    <w:p w14:paraId="13E5A158" w14:textId="77777777" w:rsidR="00FC5C38" w:rsidRDefault="00FC5C38" w:rsidP="00FC5C38">
      <w:pPr>
        <w:pStyle w:val="a9"/>
        <w:spacing w:after="0" w:line="240" w:lineRule="auto"/>
        <w:ind w:left="2160"/>
        <w:rPr>
          <w:rFonts w:ascii="Arial" w:hAnsi="Arial" w:cs="Arial"/>
          <w:sz w:val="18"/>
        </w:rPr>
      </w:pPr>
    </w:p>
    <w:p w14:paraId="6B6B68AF" w14:textId="77777777" w:rsidR="00FC5C38" w:rsidRDefault="00FC5C38" w:rsidP="00FC5C38">
      <w:pPr>
        <w:pStyle w:val="a9"/>
        <w:spacing w:after="0" w:line="240" w:lineRule="auto"/>
        <w:ind w:left="2160"/>
        <w:rPr>
          <w:rFonts w:ascii="Arial" w:hAnsi="Arial" w:cs="Arial"/>
          <w:sz w:val="18"/>
        </w:rPr>
      </w:pPr>
    </w:p>
    <w:p w14:paraId="129BF8DD" w14:textId="77777777" w:rsidR="00FC5C38" w:rsidRDefault="00FC5C38" w:rsidP="00FC5C38">
      <w:pPr>
        <w:pStyle w:val="a9"/>
        <w:spacing w:after="0" w:line="240" w:lineRule="auto"/>
        <w:ind w:left="2160"/>
        <w:rPr>
          <w:rFonts w:ascii="Arial" w:hAnsi="Arial" w:cs="Arial"/>
          <w:sz w:val="18"/>
        </w:rPr>
      </w:pPr>
    </w:p>
    <w:p w14:paraId="04A6F05C" w14:textId="77777777" w:rsidR="00FC5C38" w:rsidRDefault="00FC5C38" w:rsidP="00FC5C38">
      <w:pPr>
        <w:pStyle w:val="a9"/>
        <w:spacing w:after="0" w:line="240" w:lineRule="auto"/>
        <w:ind w:left="2160"/>
        <w:rPr>
          <w:rFonts w:ascii="Arial" w:hAnsi="Arial" w:cs="Arial"/>
          <w:sz w:val="18"/>
        </w:rPr>
      </w:pPr>
    </w:p>
    <w:p w14:paraId="135FA422" w14:textId="77777777" w:rsidR="00FC5C38" w:rsidRDefault="00FC5C38" w:rsidP="00FC5C38">
      <w:pPr>
        <w:pStyle w:val="a9"/>
        <w:spacing w:after="0" w:line="240" w:lineRule="auto"/>
        <w:ind w:left="2160"/>
        <w:rPr>
          <w:rFonts w:ascii="Arial" w:hAnsi="Arial" w:cs="Arial"/>
          <w:sz w:val="18"/>
        </w:rPr>
      </w:pPr>
    </w:p>
    <w:p w14:paraId="5728745B" w14:textId="77777777" w:rsidR="00FC5C38" w:rsidRDefault="00FC5C38" w:rsidP="00FC5C38">
      <w:pPr>
        <w:pStyle w:val="a9"/>
        <w:spacing w:after="0" w:line="240" w:lineRule="auto"/>
        <w:ind w:left="2160"/>
        <w:rPr>
          <w:rFonts w:ascii="Arial" w:hAnsi="Arial" w:cs="Arial"/>
          <w:sz w:val="18"/>
        </w:rPr>
      </w:pPr>
    </w:p>
    <w:p w14:paraId="4604B641" w14:textId="77777777" w:rsidR="00FC5C38" w:rsidRDefault="00FC5C38" w:rsidP="00FC5C38">
      <w:pPr>
        <w:pStyle w:val="a9"/>
        <w:spacing w:after="0" w:line="240" w:lineRule="auto"/>
        <w:ind w:left="2160"/>
        <w:rPr>
          <w:rFonts w:ascii="Arial" w:hAnsi="Arial" w:cs="Arial"/>
          <w:sz w:val="18"/>
        </w:rPr>
      </w:pPr>
    </w:p>
    <w:p w14:paraId="3DD0A45E" w14:textId="77777777" w:rsidR="00DE5220" w:rsidRDefault="00DE5220" w:rsidP="00FC5C38">
      <w:pPr>
        <w:pStyle w:val="a9"/>
        <w:spacing w:after="0" w:line="240" w:lineRule="auto"/>
        <w:ind w:left="2160"/>
        <w:rPr>
          <w:rFonts w:ascii="Arial" w:hAnsi="Arial" w:cs="Arial"/>
          <w:sz w:val="18"/>
        </w:rPr>
      </w:pPr>
    </w:p>
    <w:p w14:paraId="083E924D" w14:textId="77777777" w:rsidR="00DE5220" w:rsidRDefault="00DE5220" w:rsidP="00FC5C38">
      <w:pPr>
        <w:pStyle w:val="a9"/>
        <w:spacing w:after="0" w:line="240" w:lineRule="auto"/>
        <w:ind w:left="2160"/>
        <w:rPr>
          <w:rFonts w:ascii="Arial" w:hAnsi="Arial" w:cs="Arial"/>
          <w:sz w:val="18"/>
        </w:rPr>
      </w:pPr>
    </w:p>
    <w:p w14:paraId="637F59E1" w14:textId="77777777" w:rsidR="00DE5220" w:rsidRDefault="00DE5220" w:rsidP="00FC5C38">
      <w:pPr>
        <w:pStyle w:val="a9"/>
        <w:spacing w:after="0" w:line="240" w:lineRule="auto"/>
        <w:ind w:left="2160"/>
        <w:rPr>
          <w:rFonts w:ascii="Arial" w:hAnsi="Arial" w:cs="Arial"/>
          <w:sz w:val="18"/>
        </w:rPr>
      </w:pPr>
    </w:p>
    <w:p w14:paraId="27A7F8A3" w14:textId="77777777" w:rsidR="00DE5220" w:rsidRDefault="00DE5220" w:rsidP="00FC5C38">
      <w:pPr>
        <w:pStyle w:val="a9"/>
        <w:spacing w:after="0" w:line="240" w:lineRule="auto"/>
        <w:ind w:left="2160"/>
        <w:rPr>
          <w:rFonts w:ascii="Arial" w:hAnsi="Arial" w:cs="Arial"/>
          <w:sz w:val="18"/>
        </w:rPr>
      </w:pPr>
    </w:p>
    <w:p w14:paraId="71FA4E44" w14:textId="77777777" w:rsidR="00DE5220" w:rsidRDefault="00DE5220" w:rsidP="00FC5C38">
      <w:pPr>
        <w:pStyle w:val="a9"/>
        <w:spacing w:after="0" w:line="240" w:lineRule="auto"/>
        <w:ind w:left="2160"/>
        <w:rPr>
          <w:rFonts w:ascii="Arial" w:hAnsi="Arial" w:cs="Arial"/>
          <w:sz w:val="18"/>
        </w:rPr>
      </w:pPr>
    </w:p>
    <w:p w14:paraId="2A998ABA" w14:textId="77777777" w:rsidR="00DE5220" w:rsidRDefault="00DE5220" w:rsidP="00FC5C38">
      <w:pPr>
        <w:pStyle w:val="a9"/>
        <w:spacing w:after="0" w:line="240" w:lineRule="auto"/>
        <w:ind w:left="2160"/>
        <w:rPr>
          <w:rFonts w:ascii="Arial" w:hAnsi="Arial" w:cs="Arial"/>
          <w:sz w:val="18"/>
        </w:rPr>
      </w:pPr>
    </w:p>
    <w:p w14:paraId="5F6BDD81" w14:textId="77777777" w:rsidR="00DE5220" w:rsidRDefault="00DE5220" w:rsidP="00FC5C38">
      <w:pPr>
        <w:pStyle w:val="a9"/>
        <w:spacing w:after="0" w:line="240" w:lineRule="auto"/>
        <w:ind w:left="2160"/>
        <w:rPr>
          <w:rFonts w:ascii="Arial" w:hAnsi="Arial" w:cs="Arial"/>
          <w:sz w:val="18"/>
        </w:rPr>
      </w:pPr>
    </w:p>
    <w:p w14:paraId="481D9932" w14:textId="77777777" w:rsidR="00DE5220" w:rsidRDefault="00DE5220" w:rsidP="00FC5C38">
      <w:pPr>
        <w:pStyle w:val="a9"/>
        <w:spacing w:after="0" w:line="240" w:lineRule="auto"/>
        <w:ind w:left="2160"/>
        <w:rPr>
          <w:rFonts w:ascii="Arial" w:hAnsi="Arial" w:cs="Arial"/>
          <w:sz w:val="18"/>
        </w:rPr>
      </w:pPr>
    </w:p>
    <w:p w14:paraId="328AEC41" w14:textId="77777777" w:rsidR="00DE5220" w:rsidRDefault="00DE5220" w:rsidP="00FC5C38">
      <w:pPr>
        <w:pStyle w:val="a9"/>
        <w:spacing w:after="0" w:line="240" w:lineRule="auto"/>
        <w:ind w:left="2160"/>
        <w:rPr>
          <w:rFonts w:ascii="Arial" w:hAnsi="Arial" w:cs="Arial"/>
          <w:sz w:val="18"/>
        </w:rPr>
      </w:pPr>
    </w:p>
    <w:p w14:paraId="16965255" w14:textId="77777777" w:rsidR="00DE5220" w:rsidRDefault="00DE5220" w:rsidP="00FC5C38">
      <w:pPr>
        <w:pStyle w:val="a9"/>
        <w:spacing w:after="0" w:line="240" w:lineRule="auto"/>
        <w:ind w:left="2160"/>
        <w:rPr>
          <w:rFonts w:ascii="Arial" w:hAnsi="Arial" w:cs="Arial"/>
          <w:sz w:val="18"/>
        </w:rPr>
      </w:pPr>
    </w:p>
    <w:p w14:paraId="1FE13CC1" w14:textId="77777777" w:rsidR="00DE5220" w:rsidRDefault="00DE5220" w:rsidP="00FC5C38">
      <w:pPr>
        <w:pStyle w:val="a9"/>
        <w:spacing w:after="0" w:line="240" w:lineRule="auto"/>
        <w:ind w:left="2160"/>
        <w:rPr>
          <w:rFonts w:ascii="Arial" w:hAnsi="Arial" w:cs="Arial"/>
          <w:sz w:val="18"/>
        </w:rPr>
      </w:pPr>
    </w:p>
    <w:p w14:paraId="1EE48298" w14:textId="77777777" w:rsidR="00DE5220" w:rsidRDefault="00DE5220" w:rsidP="00FC5C38">
      <w:pPr>
        <w:pStyle w:val="a9"/>
        <w:spacing w:after="0" w:line="240" w:lineRule="auto"/>
        <w:ind w:left="2160"/>
        <w:rPr>
          <w:rFonts w:ascii="Arial" w:hAnsi="Arial" w:cs="Arial"/>
          <w:sz w:val="18"/>
        </w:rPr>
      </w:pPr>
    </w:p>
    <w:p w14:paraId="3F72C9D3" w14:textId="77777777" w:rsidR="00DE5220" w:rsidRDefault="00DE5220" w:rsidP="00FC5C38">
      <w:pPr>
        <w:pStyle w:val="a9"/>
        <w:spacing w:after="0" w:line="240" w:lineRule="auto"/>
        <w:ind w:left="2160"/>
        <w:rPr>
          <w:rFonts w:ascii="Arial" w:hAnsi="Arial" w:cs="Arial"/>
          <w:sz w:val="18"/>
        </w:rPr>
      </w:pPr>
    </w:p>
    <w:p w14:paraId="31B57DDE" w14:textId="77777777" w:rsidR="00DE5220" w:rsidRDefault="00DE5220" w:rsidP="00FC5C38">
      <w:pPr>
        <w:pStyle w:val="a9"/>
        <w:spacing w:after="0" w:line="240" w:lineRule="auto"/>
        <w:ind w:left="2160"/>
        <w:rPr>
          <w:rFonts w:ascii="Arial" w:hAnsi="Arial" w:cs="Arial"/>
          <w:sz w:val="18"/>
        </w:rPr>
      </w:pPr>
    </w:p>
    <w:p w14:paraId="1AAA7BCD" w14:textId="77777777" w:rsidR="00DE5220" w:rsidRDefault="00DE5220" w:rsidP="00FC5C38">
      <w:pPr>
        <w:pStyle w:val="a9"/>
        <w:spacing w:after="0" w:line="240" w:lineRule="auto"/>
        <w:ind w:left="2160"/>
        <w:rPr>
          <w:rFonts w:ascii="Arial" w:hAnsi="Arial" w:cs="Arial"/>
          <w:sz w:val="18"/>
        </w:rPr>
      </w:pPr>
    </w:p>
    <w:p w14:paraId="195C2C42" w14:textId="77777777" w:rsidR="00FC5C38" w:rsidRDefault="00FC5C38" w:rsidP="00FC5C38">
      <w:pPr>
        <w:pStyle w:val="a9"/>
        <w:spacing w:after="0" w:line="240" w:lineRule="auto"/>
        <w:ind w:left="2160"/>
        <w:rPr>
          <w:rFonts w:ascii="Arial" w:hAnsi="Arial" w:cs="Arial"/>
          <w:sz w:val="18"/>
        </w:rPr>
      </w:pPr>
    </w:p>
    <w:p w14:paraId="001AB014" w14:textId="77777777" w:rsidR="00FC5C38" w:rsidRDefault="00FC5C38" w:rsidP="00FC5C38">
      <w:pPr>
        <w:pStyle w:val="a9"/>
        <w:spacing w:after="0" w:line="240" w:lineRule="auto"/>
        <w:ind w:left="1843"/>
        <w:rPr>
          <w:rFonts w:ascii="Arial" w:hAnsi="Arial" w:cs="Arial"/>
          <w:sz w:val="18"/>
        </w:rPr>
      </w:pPr>
    </w:p>
    <w:p w14:paraId="1AE1A96A" w14:textId="77777777" w:rsidR="00FC5C38" w:rsidRPr="00A5297E" w:rsidRDefault="00FC5C38" w:rsidP="00FC5C38">
      <w:pPr>
        <w:pStyle w:val="a9"/>
        <w:spacing w:after="0" w:line="240" w:lineRule="auto"/>
        <w:ind w:left="2160"/>
        <w:rPr>
          <w:rFonts w:ascii="Arial" w:hAnsi="Arial" w:cs="Arial"/>
          <w:sz w:val="18"/>
        </w:rPr>
      </w:pPr>
      <w:r>
        <w:rPr>
          <w:noProof/>
          <w:lang w:eastAsia="el-GR"/>
        </w:rPr>
        <w:drawing>
          <wp:inline distT="0" distB="0" distL="0" distR="0" wp14:anchorId="7E6078B5" wp14:editId="5603A287">
            <wp:extent cx="5762625" cy="1533525"/>
            <wp:effectExtent l="0" t="0" r="9525" b="9525"/>
            <wp:docPr id="60" name="Picture 6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3387" w14:textId="77777777" w:rsidR="00C27AB6" w:rsidRDefault="00C27AB6">
    <w:pPr>
      <w:pStyle w:val="a6"/>
    </w:pPr>
    <w:r>
      <w:rPr>
        <w:noProof/>
        <w:lang w:eastAsia="el-GR"/>
      </w:rPr>
      <mc:AlternateContent>
        <mc:Choice Requires="wps">
          <w:drawing>
            <wp:anchor distT="0" distB="0" distL="114300" distR="114300" simplePos="0" relativeHeight="251651072" behindDoc="1" locked="0" layoutInCell="0" allowOverlap="1" wp14:anchorId="02C7FEC8" wp14:editId="4D85ED7C">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15E0FF37" w14:textId="77777777" w:rsidR="00C27AB6" w:rsidRPr="001A27A8" w:rsidRDefault="00C27AB6"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FEC8" id="Freeform 368" o:spid="_x0000_s1059"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14:paraId="15E0FF37" w14:textId="77777777" w:rsidR="00C27AB6" w:rsidRPr="001A27A8" w:rsidRDefault="00C27AB6"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25F49C0C" wp14:editId="3413355A">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17F8235A" w14:textId="17F44FF7" w:rsidR="00C27AB6" w:rsidRPr="000B2467" w:rsidRDefault="00C27AB6" w:rsidP="002453D6">
                          <w:pPr>
                            <w:jc w:val="right"/>
                          </w:pPr>
                          <w:r>
                            <w:fldChar w:fldCharType="begin"/>
                          </w:r>
                          <w:r>
                            <w:instrText xml:space="preserve"> PAGE   \* MERGEFORMAT </w:instrText>
                          </w:r>
                          <w:r>
                            <w:fldChar w:fldCharType="separate"/>
                          </w:r>
                          <w:r w:rsidR="00834EB4">
                            <w:rPr>
                              <w:noProof/>
                            </w:rPr>
                            <w:t>7</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49C0C" id="Freeform 369" o:spid="_x0000_s1060"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17F8235A" w14:textId="17F44FF7" w:rsidR="00C27AB6" w:rsidRPr="000B2467" w:rsidRDefault="00C27AB6" w:rsidP="002453D6">
                    <w:pPr>
                      <w:jc w:val="right"/>
                    </w:pPr>
                    <w:r>
                      <w:fldChar w:fldCharType="begin"/>
                    </w:r>
                    <w:r>
                      <w:instrText xml:space="preserve"> PAGE   \* MERGEFORMAT </w:instrText>
                    </w:r>
                    <w:r>
                      <w:fldChar w:fldCharType="separate"/>
                    </w:r>
                    <w:r w:rsidR="00834EB4">
                      <w:rPr>
                        <w:noProof/>
                      </w:rPr>
                      <w:t>7</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D7D8" w14:textId="77777777" w:rsidR="00C27AB6" w:rsidRDefault="00C27AB6">
    <w:pPr>
      <w:pStyle w:val="a6"/>
    </w:pPr>
    <w:r>
      <w:rPr>
        <w:noProof/>
        <w:lang w:eastAsia="el-GR"/>
      </w:rPr>
      <mc:AlternateContent>
        <mc:Choice Requires="wps">
          <w:drawing>
            <wp:anchor distT="0" distB="0" distL="114300" distR="114300" simplePos="0" relativeHeight="251656192" behindDoc="1" locked="0" layoutInCell="0" allowOverlap="1" wp14:anchorId="78A47F86" wp14:editId="59BD2F6A">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0E4001B8" w14:textId="77777777" w:rsidR="00C27AB6" w:rsidRPr="001A27A8" w:rsidRDefault="00C27AB6"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7F86" id="Freeform 26" o:spid="_x0000_s1079"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0E4001B8" w14:textId="77777777" w:rsidR="00C27AB6" w:rsidRPr="001A27A8" w:rsidRDefault="00C27AB6"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49D0D989" wp14:editId="6C36496A">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240807DC" w14:textId="77777777" w:rsidR="00C27AB6" w:rsidRPr="0010490B" w:rsidRDefault="00C27AB6"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D989" id="Freeform 27" o:spid="_x0000_s1080"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DzoNfo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240807DC" w14:textId="77777777" w:rsidR="00C27AB6" w:rsidRPr="0010490B" w:rsidRDefault="00C27AB6"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C928" w14:textId="77777777" w:rsidR="00E54EFA" w:rsidRDefault="00E54EFA" w:rsidP="002453D6">
      <w:pPr>
        <w:spacing w:after="0" w:line="240" w:lineRule="auto"/>
      </w:pPr>
      <w:r>
        <w:separator/>
      </w:r>
    </w:p>
  </w:footnote>
  <w:footnote w:type="continuationSeparator" w:id="0">
    <w:p w14:paraId="3970B87E" w14:textId="77777777" w:rsidR="00E54EFA" w:rsidRDefault="00E54EFA"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5AFC" w14:textId="77777777" w:rsidR="00C27AB6" w:rsidRDefault="00C27AB6">
    <w:pPr>
      <w:pStyle w:val="a5"/>
    </w:pPr>
    <w:r>
      <w:rPr>
        <w:noProof/>
        <w:lang w:eastAsia="el-GR"/>
      </w:rPr>
      <w:drawing>
        <wp:anchor distT="0" distB="0" distL="114300" distR="114300" simplePos="0" relativeHeight="251661312" behindDoc="0" locked="0" layoutInCell="1" allowOverlap="1" wp14:anchorId="2AB22E23" wp14:editId="10A0C591">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940A" w14:textId="77777777" w:rsidR="00C27AB6" w:rsidRDefault="00C27AB6" w:rsidP="00CD5895">
    <w:pPr>
      <w:pStyle w:val="a5"/>
      <w:tabs>
        <w:tab w:val="left" w:pos="11340"/>
      </w:tabs>
    </w:pPr>
    <w:r>
      <w:rPr>
        <w:noProof/>
        <w:lang w:eastAsia="el-GR"/>
      </w:rPr>
      <mc:AlternateContent>
        <mc:Choice Requires="wpg">
          <w:drawing>
            <wp:anchor distT="0" distB="0" distL="114300" distR="114300" simplePos="0" relativeHeight="251635200" behindDoc="0" locked="0" layoutInCell="1" allowOverlap="1" wp14:anchorId="5FF291FD" wp14:editId="77D77E02">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C183" w14:textId="77777777" w:rsidR="00C27AB6" w:rsidRPr="00845D4F" w:rsidRDefault="00C27AB6"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291FD" id="Group 5" o:spid="_x0000_s1061"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">
              <v:rect id="Rectangle 7" o:spid="_x0000_s1062"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63"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64"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65"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66"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67"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68"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69"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70"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71"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72"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90AC183" w14:textId="77777777" w:rsidR="00C27AB6" w:rsidRPr="00845D4F" w:rsidRDefault="00C27AB6"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mc:Fallback>
      </mc:AlternateContent>
    </w:r>
    <w:r>
      <w:rPr>
        <w:noProof/>
        <w:lang w:eastAsia="el-GR"/>
      </w:rPr>
      <mc:AlternateContent>
        <mc:Choice Requires="wpg">
          <w:drawing>
            <wp:anchor distT="0" distB="0" distL="114300" distR="114300" simplePos="0" relativeHeight="251664896" behindDoc="1" locked="0" layoutInCell="1" allowOverlap="1" wp14:anchorId="210A1089" wp14:editId="1A290A59">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7D8B" w14:textId="77777777" w:rsidR="00C27AB6" w:rsidRPr="00C906C1" w:rsidRDefault="00C27AB6"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210A1089" id="Group 1" o:spid="_x0000_s1073"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">
              <v:rect id="Rectangle 3" o:spid="_x0000_s1074"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75"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76"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75E7D8B" w14:textId="77777777" w:rsidR="00C27AB6" w:rsidRPr="00C906C1" w:rsidRDefault="00C27AB6"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Pr>
        <w:noProof/>
        <w:lang w:eastAsia="el-GR"/>
      </w:rPr>
      <mc:AlternateContent>
        <mc:Choice Requires="wps">
          <w:drawing>
            <wp:anchor distT="45720" distB="45720" distL="114300" distR="114300" simplePos="0" relativeHeight="251651584" behindDoc="0" locked="0" layoutInCell="1" allowOverlap="1" wp14:anchorId="337EC31D" wp14:editId="210FEDA7">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05F360C9" w14:textId="77777777" w:rsidR="00C27AB6" w:rsidRPr="0008260C" w:rsidRDefault="00C27AB6">
                          <w:pPr>
                            <w:rPr>
                              <w:sz w:val="20"/>
                            </w:rPr>
                          </w:pPr>
                          <w:r>
                            <w:rPr>
                              <w:rFonts w:ascii="Arial" w:hAnsi="Arial" w:cs="Arial"/>
                              <w:color w:val="0E3B70"/>
                              <w:sz w:val="28"/>
                              <w:lang w:val="en-US"/>
                            </w:rPr>
                            <w:t xml:space="preserve">  </w:t>
                          </w:r>
                          <w:r>
                            <w:rPr>
                              <w:rFonts w:ascii="Arial" w:hAnsi="Arial" w:cs="Arial"/>
                              <w:color w:val="0E3B70"/>
                              <w:sz w:val="28"/>
                            </w:rPr>
                            <w:t>ΜΑΪΟΥ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EC31D" id="Πλαίσιο κειμένου 2" o:spid="_x0000_s1077"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5YaU41sCAABZBAAADgAAAAAAAAAAAAAAAAAuAgAAZHJzL2Uyb0RvYy54&#10;bWxQSwECLQAUAAYACAAAACEAioab4t8AAAALAQAADwAAAAAAAAAAAAAAAAC1BAAAZHJzL2Rvd25y&#10;ZXYueG1sUEsFBgAAAAAEAAQA8wAAAMEFAAAAAA==&#10;" fillcolor="#e7e6e6 [3214]" stroked="f">
              <v:fill opacity="0"/>
              <v:textbox>
                <w:txbxContent>
                  <w:p w14:paraId="05F360C9" w14:textId="77777777" w:rsidR="00C27AB6" w:rsidRPr="0008260C" w:rsidRDefault="00C27AB6">
                    <w:pPr>
                      <w:rPr>
                        <w:sz w:val="20"/>
                      </w:rPr>
                    </w:pPr>
                    <w:r>
                      <w:rPr>
                        <w:rFonts w:ascii="Arial" w:hAnsi="Arial" w:cs="Arial"/>
                        <w:color w:val="0E3B70"/>
                        <w:sz w:val="28"/>
                        <w:lang w:val="en-US"/>
                      </w:rPr>
                      <w:t xml:space="preserve">  </w:t>
                    </w:r>
                    <w:r>
                      <w:rPr>
                        <w:rFonts w:ascii="Arial" w:hAnsi="Arial" w:cs="Arial"/>
                        <w:color w:val="0E3B70"/>
                        <w:sz w:val="28"/>
                      </w:rPr>
                      <w:t>ΜΑΪΟΥ</w:t>
                    </w:r>
                  </w:p>
                </w:txbxContent>
              </v:textbox>
              <w10:wrap type="square"/>
            </v:shape>
          </w:pict>
        </mc:Fallback>
      </mc:AlternateContent>
    </w:r>
    <w:r>
      <w:rPr>
        <w:noProof/>
        <w:lang w:eastAsia="el-GR"/>
      </w:rPr>
      <mc:AlternateContent>
        <mc:Choice Requires="wps">
          <w:drawing>
            <wp:anchor distT="45720" distB="45720" distL="114300" distR="114300" simplePos="0" relativeHeight="251663872" behindDoc="0" locked="0" layoutInCell="1" allowOverlap="1" wp14:anchorId="7B1CE965" wp14:editId="1F32BDB5">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513A8801" w14:textId="30781661" w:rsidR="00C27AB6" w:rsidRPr="007F4129" w:rsidRDefault="002206F6" w:rsidP="00490C0E">
                          <w:pPr>
                            <w:rPr>
                              <w:rFonts w:ascii="Arial" w:hAnsi="Arial" w:cs="Arial"/>
                              <w:color w:val="0E3B70"/>
                              <w:sz w:val="40"/>
                              <w:szCs w:val="40"/>
                              <w:lang w:val="en-US"/>
                            </w:rPr>
                          </w:pPr>
                          <w:r>
                            <w:rPr>
                              <w:rFonts w:ascii="Arial" w:hAnsi="Arial" w:cs="Arial"/>
                              <w:color w:val="0E3B70"/>
                              <w:sz w:val="40"/>
                              <w:szCs w:val="40"/>
                              <w:lang w:val="en-US"/>
                            </w:rPr>
                            <w:t>20</w:t>
                          </w:r>
                        </w:p>
                        <w:p w14:paraId="4D806415" w14:textId="77777777" w:rsidR="00C27AB6" w:rsidRDefault="00C27AB6"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CE965" id="_x0000_s1078"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" fillcolor="#e7e6e6 [3214]" stroked="f">
              <v:fill opacity="0"/>
              <v:textbox>
                <w:txbxContent>
                  <w:p w14:paraId="513A8801" w14:textId="30781661" w:rsidR="00C27AB6" w:rsidRPr="007F4129" w:rsidRDefault="002206F6" w:rsidP="00490C0E">
                    <w:pPr>
                      <w:rPr>
                        <w:rFonts w:ascii="Arial" w:hAnsi="Arial" w:cs="Arial"/>
                        <w:color w:val="0E3B70"/>
                        <w:sz w:val="40"/>
                        <w:szCs w:val="40"/>
                        <w:lang w:val="en-US"/>
                      </w:rPr>
                    </w:pPr>
                    <w:r>
                      <w:rPr>
                        <w:rFonts w:ascii="Arial" w:hAnsi="Arial" w:cs="Arial"/>
                        <w:color w:val="0E3B70"/>
                        <w:sz w:val="40"/>
                        <w:szCs w:val="40"/>
                        <w:lang w:val="en-US"/>
                      </w:rPr>
                      <w:t>20</w:t>
                    </w:r>
                  </w:p>
                  <w:p w14:paraId="4D806415" w14:textId="77777777" w:rsidR="00C27AB6" w:rsidRDefault="00C27AB6"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2" w15:restartNumberingAfterBreak="0">
    <w:nsid w:val="1B122B42"/>
    <w:multiLevelType w:val="hybridMultilevel"/>
    <w:tmpl w:val="60DC718E"/>
    <w:lvl w:ilvl="0" w:tplc="04080001">
      <w:start w:val="1"/>
      <w:numFmt w:val="bullet"/>
      <w:lvlText w:val=""/>
      <w:lvlJc w:val="left"/>
      <w:pPr>
        <w:ind w:left="2478" w:hanging="360"/>
      </w:pPr>
      <w:rPr>
        <w:rFonts w:ascii="Symbol" w:hAnsi="Symbol" w:hint="default"/>
      </w:rPr>
    </w:lvl>
    <w:lvl w:ilvl="1" w:tplc="04080003" w:tentative="1">
      <w:start w:val="1"/>
      <w:numFmt w:val="bullet"/>
      <w:lvlText w:val="o"/>
      <w:lvlJc w:val="left"/>
      <w:pPr>
        <w:ind w:left="3198" w:hanging="360"/>
      </w:pPr>
      <w:rPr>
        <w:rFonts w:ascii="Courier New" w:hAnsi="Courier New" w:cs="Courier New" w:hint="default"/>
      </w:rPr>
    </w:lvl>
    <w:lvl w:ilvl="2" w:tplc="04080005" w:tentative="1">
      <w:start w:val="1"/>
      <w:numFmt w:val="bullet"/>
      <w:lvlText w:val=""/>
      <w:lvlJc w:val="left"/>
      <w:pPr>
        <w:ind w:left="3918" w:hanging="360"/>
      </w:pPr>
      <w:rPr>
        <w:rFonts w:ascii="Wingdings" w:hAnsi="Wingdings" w:hint="default"/>
      </w:rPr>
    </w:lvl>
    <w:lvl w:ilvl="3" w:tplc="04080001" w:tentative="1">
      <w:start w:val="1"/>
      <w:numFmt w:val="bullet"/>
      <w:lvlText w:val=""/>
      <w:lvlJc w:val="left"/>
      <w:pPr>
        <w:ind w:left="4638" w:hanging="360"/>
      </w:pPr>
      <w:rPr>
        <w:rFonts w:ascii="Symbol" w:hAnsi="Symbol" w:hint="default"/>
      </w:rPr>
    </w:lvl>
    <w:lvl w:ilvl="4" w:tplc="04080003" w:tentative="1">
      <w:start w:val="1"/>
      <w:numFmt w:val="bullet"/>
      <w:lvlText w:val="o"/>
      <w:lvlJc w:val="left"/>
      <w:pPr>
        <w:ind w:left="5358" w:hanging="360"/>
      </w:pPr>
      <w:rPr>
        <w:rFonts w:ascii="Courier New" w:hAnsi="Courier New" w:cs="Courier New" w:hint="default"/>
      </w:rPr>
    </w:lvl>
    <w:lvl w:ilvl="5" w:tplc="04080005" w:tentative="1">
      <w:start w:val="1"/>
      <w:numFmt w:val="bullet"/>
      <w:lvlText w:val=""/>
      <w:lvlJc w:val="left"/>
      <w:pPr>
        <w:ind w:left="6078" w:hanging="360"/>
      </w:pPr>
      <w:rPr>
        <w:rFonts w:ascii="Wingdings" w:hAnsi="Wingdings" w:hint="default"/>
      </w:rPr>
    </w:lvl>
    <w:lvl w:ilvl="6" w:tplc="04080001" w:tentative="1">
      <w:start w:val="1"/>
      <w:numFmt w:val="bullet"/>
      <w:lvlText w:val=""/>
      <w:lvlJc w:val="left"/>
      <w:pPr>
        <w:ind w:left="6798" w:hanging="360"/>
      </w:pPr>
      <w:rPr>
        <w:rFonts w:ascii="Symbol" w:hAnsi="Symbol" w:hint="default"/>
      </w:rPr>
    </w:lvl>
    <w:lvl w:ilvl="7" w:tplc="04080003" w:tentative="1">
      <w:start w:val="1"/>
      <w:numFmt w:val="bullet"/>
      <w:lvlText w:val="o"/>
      <w:lvlJc w:val="left"/>
      <w:pPr>
        <w:ind w:left="7518" w:hanging="360"/>
      </w:pPr>
      <w:rPr>
        <w:rFonts w:ascii="Courier New" w:hAnsi="Courier New" w:cs="Courier New" w:hint="default"/>
      </w:rPr>
    </w:lvl>
    <w:lvl w:ilvl="8" w:tplc="04080005" w:tentative="1">
      <w:start w:val="1"/>
      <w:numFmt w:val="bullet"/>
      <w:lvlText w:val=""/>
      <w:lvlJc w:val="left"/>
      <w:pPr>
        <w:ind w:left="8238" w:hanging="360"/>
      </w:pPr>
      <w:rPr>
        <w:rFonts w:ascii="Wingdings" w:hAnsi="Wingdings" w:hint="default"/>
      </w:rPr>
    </w:lvl>
  </w:abstractNum>
  <w:abstractNum w:abstractNumId="3" w15:restartNumberingAfterBreak="0">
    <w:nsid w:val="3B031BCC"/>
    <w:multiLevelType w:val="hybridMultilevel"/>
    <w:tmpl w:val="31B2E64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5"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82C1BE1"/>
    <w:multiLevelType w:val="hybridMultilevel"/>
    <w:tmpl w:val="81A4ED7C"/>
    <w:lvl w:ilvl="0" w:tplc="04080001">
      <w:start w:val="1"/>
      <w:numFmt w:val="bullet"/>
      <w:lvlText w:val=""/>
      <w:lvlJc w:val="left"/>
      <w:pPr>
        <w:ind w:left="2118" w:hanging="360"/>
      </w:pPr>
      <w:rPr>
        <w:rFonts w:ascii="Symbol" w:hAnsi="Symbol" w:hint="default"/>
      </w:rPr>
    </w:lvl>
    <w:lvl w:ilvl="1" w:tplc="04080003" w:tentative="1">
      <w:start w:val="1"/>
      <w:numFmt w:val="bullet"/>
      <w:lvlText w:val="o"/>
      <w:lvlJc w:val="left"/>
      <w:pPr>
        <w:ind w:left="2838" w:hanging="360"/>
      </w:pPr>
      <w:rPr>
        <w:rFonts w:ascii="Courier New" w:hAnsi="Courier New" w:cs="Courier New" w:hint="default"/>
      </w:rPr>
    </w:lvl>
    <w:lvl w:ilvl="2" w:tplc="04080005" w:tentative="1">
      <w:start w:val="1"/>
      <w:numFmt w:val="bullet"/>
      <w:lvlText w:val=""/>
      <w:lvlJc w:val="left"/>
      <w:pPr>
        <w:ind w:left="3558" w:hanging="360"/>
      </w:pPr>
      <w:rPr>
        <w:rFonts w:ascii="Wingdings" w:hAnsi="Wingdings" w:hint="default"/>
      </w:rPr>
    </w:lvl>
    <w:lvl w:ilvl="3" w:tplc="04080001" w:tentative="1">
      <w:start w:val="1"/>
      <w:numFmt w:val="bullet"/>
      <w:lvlText w:val=""/>
      <w:lvlJc w:val="left"/>
      <w:pPr>
        <w:ind w:left="4278" w:hanging="360"/>
      </w:pPr>
      <w:rPr>
        <w:rFonts w:ascii="Symbol" w:hAnsi="Symbol" w:hint="default"/>
      </w:rPr>
    </w:lvl>
    <w:lvl w:ilvl="4" w:tplc="04080003" w:tentative="1">
      <w:start w:val="1"/>
      <w:numFmt w:val="bullet"/>
      <w:lvlText w:val="o"/>
      <w:lvlJc w:val="left"/>
      <w:pPr>
        <w:ind w:left="4998" w:hanging="360"/>
      </w:pPr>
      <w:rPr>
        <w:rFonts w:ascii="Courier New" w:hAnsi="Courier New" w:cs="Courier New" w:hint="default"/>
      </w:rPr>
    </w:lvl>
    <w:lvl w:ilvl="5" w:tplc="04080005" w:tentative="1">
      <w:start w:val="1"/>
      <w:numFmt w:val="bullet"/>
      <w:lvlText w:val=""/>
      <w:lvlJc w:val="left"/>
      <w:pPr>
        <w:ind w:left="5718" w:hanging="360"/>
      </w:pPr>
      <w:rPr>
        <w:rFonts w:ascii="Wingdings" w:hAnsi="Wingdings" w:hint="default"/>
      </w:rPr>
    </w:lvl>
    <w:lvl w:ilvl="6" w:tplc="04080001" w:tentative="1">
      <w:start w:val="1"/>
      <w:numFmt w:val="bullet"/>
      <w:lvlText w:val=""/>
      <w:lvlJc w:val="left"/>
      <w:pPr>
        <w:ind w:left="6438" w:hanging="360"/>
      </w:pPr>
      <w:rPr>
        <w:rFonts w:ascii="Symbol" w:hAnsi="Symbol" w:hint="default"/>
      </w:rPr>
    </w:lvl>
    <w:lvl w:ilvl="7" w:tplc="04080003" w:tentative="1">
      <w:start w:val="1"/>
      <w:numFmt w:val="bullet"/>
      <w:lvlText w:val="o"/>
      <w:lvlJc w:val="left"/>
      <w:pPr>
        <w:ind w:left="7158" w:hanging="360"/>
      </w:pPr>
      <w:rPr>
        <w:rFonts w:ascii="Courier New" w:hAnsi="Courier New" w:cs="Courier New" w:hint="default"/>
      </w:rPr>
    </w:lvl>
    <w:lvl w:ilvl="8" w:tplc="04080005" w:tentative="1">
      <w:start w:val="1"/>
      <w:numFmt w:val="bullet"/>
      <w:lvlText w:val=""/>
      <w:lvlJc w:val="left"/>
      <w:pPr>
        <w:ind w:left="7878" w:hanging="360"/>
      </w:pPr>
      <w:rPr>
        <w:rFonts w:ascii="Wingdings" w:hAnsi="Wingdings" w:hint="default"/>
      </w:rPr>
    </w:lvl>
  </w:abstractNum>
  <w:abstractNum w:abstractNumId="7" w15:restartNumberingAfterBreak="0">
    <w:nsid w:val="7CCC01DF"/>
    <w:multiLevelType w:val="hybridMultilevel"/>
    <w:tmpl w:val="FD6CB36A"/>
    <w:lvl w:ilvl="0" w:tplc="04080001">
      <w:start w:val="1"/>
      <w:numFmt w:val="bullet"/>
      <w:lvlText w:val=""/>
      <w:lvlJc w:val="left"/>
      <w:pPr>
        <w:ind w:left="2530" w:hanging="360"/>
      </w:pPr>
      <w:rPr>
        <w:rFonts w:ascii="Symbol" w:hAnsi="Symbol" w:hint="default"/>
      </w:rPr>
    </w:lvl>
    <w:lvl w:ilvl="1" w:tplc="04080003">
      <w:start w:val="1"/>
      <w:numFmt w:val="bullet"/>
      <w:lvlText w:val="o"/>
      <w:lvlJc w:val="left"/>
      <w:pPr>
        <w:ind w:left="3250" w:hanging="360"/>
      </w:pPr>
      <w:rPr>
        <w:rFonts w:ascii="Courier New" w:hAnsi="Courier New" w:cs="Courier New" w:hint="default"/>
      </w:rPr>
    </w:lvl>
    <w:lvl w:ilvl="2" w:tplc="04080005">
      <w:start w:val="1"/>
      <w:numFmt w:val="bullet"/>
      <w:lvlText w:val=""/>
      <w:lvlJc w:val="left"/>
      <w:pPr>
        <w:ind w:left="3970" w:hanging="360"/>
      </w:pPr>
      <w:rPr>
        <w:rFonts w:ascii="Wingdings" w:hAnsi="Wingdings" w:hint="default"/>
      </w:rPr>
    </w:lvl>
    <w:lvl w:ilvl="3" w:tplc="04080001">
      <w:start w:val="1"/>
      <w:numFmt w:val="bullet"/>
      <w:lvlText w:val=""/>
      <w:lvlJc w:val="left"/>
      <w:pPr>
        <w:ind w:left="4690" w:hanging="360"/>
      </w:pPr>
      <w:rPr>
        <w:rFonts w:ascii="Symbol" w:hAnsi="Symbol" w:hint="default"/>
      </w:rPr>
    </w:lvl>
    <w:lvl w:ilvl="4" w:tplc="04080003">
      <w:start w:val="1"/>
      <w:numFmt w:val="bullet"/>
      <w:lvlText w:val="o"/>
      <w:lvlJc w:val="left"/>
      <w:pPr>
        <w:ind w:left="5410" w:hanging="360"/>
      </w:pPr>
      <w:rPr>
        <w:rFonts w:ascii="Courier New" w:hAnsi="Courier New" w:cs="Courier New" w:hint="default"/>
      </w:rPr>
    </w:lvl>
    <w:lvl w:ilvl="5" w:tplc="04080005">
      <w:start w:val="1"/>
      <w:numFmt w:val="bullet"/>
      <w:lvlText w:val=""/>
      <w:lvlJc w:val="left"/>
      <w:pPr>
        <w:ind w:left="6130" w:hanging="360"/>
      </w:pPr>
      <w:rPr>
        <w:rFonts w:ascii="Wingdings" w:hAnsi="Wingdings" w:hint="default"/>
      </w:rPr>
    </w:lvl>
    <w:lvl w:ilvl="6" w:tplc="04080001">
      <w:start w:val="1"/>
      <w:numFmt w:val="bullet"/>
      <w:lvlText w:val=""/>
      <w:lvlJc w:val="left"/>
      <w:pPr>
        <w:ind w:left="6850" w:hanging="360"/>
      </w:pPr>
      <w:rPr>
        <w:rFonts w:ascii="Symbol" w:hAnsi="Symbol" w:hint="default"/>
      </w:rPr>
    </w:lvl>
    <w:lvl w:ilvl="7" w:tplc="04080003">
      <w:start w:val="1"/>
      <w:numFmt w:val="bullet"/>
      <w:lvlText w:val="o"/>
      <w:lvlJc w:val="left"/>
      <w:pPr>
        <w:ind w:left="7570" w:hanging="360"/>
      </w:pPr>
      <w:rPr>
        <w:rFonts w:ascii="Courier New" w:hAnsi="Courier New" w:cs="Courier New" w:hint="default"/>
      </w:rPr>
    </w:lvl>
    <w:lvl w:ilvl="8" w:tplc="04080005">
      <w:start w:val="1"/>
      <w:numFmt w:val="bullet"/>
      <w:lvlText w:val=""/>
      <w:lvlJc w:val="left"/>
      <w:pPr>
        <w:ind w:left="829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38B2"/>
    <w:rsid w:val="00003F97"/>
    <w:rsid w:val="00004D66"/>
    <w:rsid w:val="00005E56"/>
    <w:rsid w:val="00023D2F"/>
    <w:rsid w:val="0002490C"/>
    <w:rsid w:val="00024BBB"/>
    <w:rsid w:val="00030D50"/>
    <w:rsid w:val="000351F0"/>
    <w:rsid w:val="00037491"/>
    <w:rsid w:val="0004158C"/>
    <w:rsid w:val="000420F3"/>
    <w:rsid w:val="00044183"/>
    <w:rsid w:val="00050F06"/>
    <w:rsid w:val="00052AE3"/>
    <w:rsid w:val="000536B9"/>
    <w:rsid w:val="0005468B"/>
    <w:rsid w:val="00054B49"/>
    <w:rsid w:val="000575FF"/>
    <w:rsid w:val="00060486"/>
    <w:rsid w:val="0006339F"/>
    <w:rsid w:val="000646AC"/>
    <w:rsid w:val="0006554F"/>
    <w:rsid w:val="0006597A"/>
    <w:rsid w:val="000769E0"/>
    <w:rsid w:val="0008260C"/>
    <w:rsid w:val="00084767"/>
    <w:rsid w:val="00085C88"/>
    <w:rsid w:val="00087D1A"/>
    <w:rsid w:val="00092569"/>
    <w:rsid w:val="00093C0D"/>
    <w:rsid w:val="00094D67"/>
    <w:rsid w:val="000A15D1"/>
    <w:rsid w:val="000A437D"/>
    <w:rsid w:val="000B0710"/>
    <w:rsid w:val="000B2467"/>
    <w:rsid w:val="000B3975"/>
    <w:rsid w:val="000B5CED"/>
    <w:rsid w:val="000C4634"/>
    <w:rsid w:val="000C4923"/>
    <w:rsid w:val="000C5907"/>
    <w:rsid w:val="000C753C"/>
    <w:rsid w:val="000D2742"/>
    <w:rsid w:val="000E25C3"/>
    <w:rsid w:val="000E68A2"/>
    <w:rsid w:val="000E74CE"/>
    <w:rsid w:val="000F362D"/>
    <w:rsid w:val="000F429E"/>
    <w:rsid w:val="000F4CC6"/>
    <w:rsid w:val="001029B9"/>
    <w:rsid w:val="00103DF0"/>
    <w:rsid w:val="0010490B"/>
    <w:rsid w:val="00104C8F"/>
    <w:rsid w:val="00104E29"/>
    <w:rsid w:val="00110116"/>
    <w:rsid w:val="00114685"/>
    <w:rsid w:val="00114B74"/>
    <w:rsid w:val="001158ED"/>
    <w:rsid w:val="00124161"/>
    <w:rsid w:val="00124D18"/>
    <w:rsid w:val="001254E9"/>
    <w:rsid w:val="00130CC5"/>
    <w:rsid w:val="00131A05"/>
    <w:rsid w:val="001364E5"/>
    <w:rsid w:val="00141CF0"/>
    <w:rsid w:val="001470F0"/>
    <w:rsid w:val="001529A8"/>
    <w:rsid w:val="00153A37"/>
    <w:rsid w:val="0017739D"/>
    <w:rsid w:val="00182920"/>
    <w:rsid w:val="00184540"/>
    <w:rsid w:val="00184590"/>
    <w:rsid w:val="0018723B"/>
    <w:rsid w:val="00192118"/>
    <w:rsid w:val="00192240"/>
    <w:rsid w:val="00194A6E"/>
    <w:rsid w:val="00196AFE"/>
    <w:rsid w:val="00196E94"/>
    <w:rsid w:val="001A0411"/>
    <w:rsid w:val="001A0655"/>
    <w:rsid w:val="001A089C"/>
    <w:rsid w:val="001A27A8"/>
    <w:rsid w:val="001A4699"/>
    <w:rsid w:val="001A527F"/>
    <w:rsid w:val="001A56E0"/>
    <w:rsid w:val="001A5F17"/>
    <w:rsid w:val="001A740C"/>
    <w:rsid w:val="001B746B"/>
    <w:rsid w:val="001C32BB"/>
    <w:rsid w:val="001C4B7A"/>
    <w:rsid w:val="001C7935"/>
    <w:rsid w:val="001D1ED6"/>
    <w:rsid w:val="001D3E53"/>
    <w:rsid w:val="001D6694"/>
    <w:rsid w:val="001D733A"/>
    <w:rsid w:val="001E1330"/>
    <w:rsid w:val="001E6512"/>
    <w:rsid w:val="001F123A"/>
    <w:rsid w:val="001F23C9"/>
    <w:rsid w:val="002031B2"/>
    <w:rsid w:val="00203507"/>
    <w:rsid w:val="00204501"/>
    <w:rsid w:val="00210125"/>
    <w:rsid w:val="00213F8E"/>
    <w:rsid w:val="00214A9F"/>
    <w:rsid w:val="0021741C"/>
    <w:rsid w:val="002206F6"/>
    <w:rsid w:val="00220E90"/>
    <w:rsid w:val="002218E9"/>
    <w:rsid w:val="00230947"/>
    <w:rsid w:val="002309CA"/>
    <w:rsid w:val="002310A9"/>
    <w:rsid w:val="0023335A"/>
    <w:rsid w:val="002361BB"/>
    <w:rsid w:val="002453D6"/>
    <w:rsid w:val="002472C1"/>
    <w:rsid w:val="002476B4"/>
    <w:rsid w:val="00253D8B"/>
    <w:rsid w:val="00257EC1"/>
    <w:rsid w:val="0026146E"/>
    <w:rsid w:val="00262A70"/>
    <w:rsid w:val="00270E65"/>
    <w:rsid w:val="00271761"/>
    <w:rsid w:val="00274299"/>
    <w:rsid w:val="00277CC5"/>
    <w:rsid w:val="00282600"/>
    <w:rsid w:val="0028420A"/>
    <w:rsid w:val="00284627"/>
    <w:rsid w:val="00284BD6"/>
    <w:rsid w:val="00286458"/>
    <w:rsid w:val="00290A3E"/>
    <w:rsid w:val="00291081"/>
    <w:rsid w:val="002911F5"/>
    <w:rsid w:val="00295065"/>
    <w:rsid w:val="002A70B9"/>
    <w:rsid w:val="002B0577"/>
    <w:rsid w:val="002B19F2"/>
    <w:rsid w:val="002B1EE7"/>
    <w:rsid w:val="002C2398"/>
    <w:rsid w:val="002C442C"/>
    <w:rsid w:val="002D7250"/>
    <w:rsid w:val="002E06DD"/>
    <w:rsid w:val="002E2B31"/>
    <w:rsid w:val="002E47D9"/>
    <w:rsid w:val="002F3D0F"/>
    <w:rsid w:val="002F50AD"/>
    <w:rsid w:val="002F5B32"/>
    <w:rsid w:val="0030062C"/>
    <w:rsid w:val="00302B8F"/>
    <w:rsid w:val="00304BE8"/>
    <w:rsid w:val="003074B8"/>
    <w:rsid w:val="0030787A"/>
    <w:rsid w:val="0031392D"/>
    <w:rsid w:val="00313B81"/>
    <w:rsid w:val="00314EBE"/>
    <w:rsid w:val="00314FAA"/>
    <w:rsid w:val="00315FEA"/>
    <w:rsid w:val="00316BC8"/>
    <w:rsid w:val="003212BA"/>
    <w:rsid w:val="00321526"/>
    <w:rsid w:val="00322203"/>
    <w:rsid w:val="003244FC"/>
    <w:rsid w:val="00326CAE"/>
    <w:rsid w:val="003307A5"/>
    <w:rsid w:val="00333BCD"/>
    <w:rsid w:val="003342AD"/>
    <w:rsid w:val="00337FA6"/>
    <w:rsid w:val="00341F31"/>
    <w:rsid w:val="003421B0"/>
    <w:rsid w:val="00345226"/>
    <w:rsid w:val="00353B18"/>
    <w:rsid w:val="00356F1E"/>
    <w:rsid w:val="00360BD0"/>
    <w:rsid w:val="00362E34"/>
    <w:rsid w:val="0036327B"/>
    <w:rsid w:val="0036503D"/>
    <w:rsid w:val="00365B85"/>
    <w:rsid w:val="003669C7"/>
    <w:rsid w:val="00375580"/>
    <w:rsid w:val="00376821"/>
    <w:rsid w:val="00381E8E"/>
    <w:rsid w:val="00386919"/>
    <w:rsid w:val="003921A2"/>
    <w:rsid w:val="00394956"/>
    <w:rsid w:val="00394CBA"/>
    <w:rsid w:val="00395DC8"/>
    <w:rsid w:val="00395FB5"/>
    <w:rsid w:val="003B155A"/>
    <w:rsid w:val="003B234A"/>
    <w:rsid w:val="003B30E6"/>
    <w:rsid w:val="003B466B"/>
    <w:rsid w:val="003B5ED8"/>
    <w:rsid w:val="003B7227"/>
    <w:rsid w:val="003B72D6"/>
    <w:rsid w:val="003B7543"/>
    <w:rsid w:val="003B7DF7"/>
    <w:rsid w:val="003C096E"/>
    <w:rsid w:val="003C0A64"/>
    <w:rsid w:val="003C4993"/>
    <w:rsid w:val="003D00F0"/>
    <w:rsid w:val="003D1B05"/>
    <w:rsid w:val="003D1DA0"/>
    <w:rsid w:val="003E060E"/>
    <w:rsid w:val="003E1660"/>
    <w:rsid w:val="003E2227"/>
    <w:rsid w:val="003E2409"/>
    <w:rsid w:val="003F4835"/>
    <w:rsid w:val="003F5359"/>
    <w:rsid w:val="003F7234"/>
    <w:rsid w:val="00400739"/>
    <w:rsid w:val="00401101"/>
    <w:rsid w:val="0040165F"/>
    <w:rsid w:val="00420A82"/>
    <w:rsid w:val="00422481"/>
    <w:rsid w:val="0042314D"/>
    <w:rsid w:val="004238DA"/>
    <w:rsid w:val="004243D4"/>
    <w:rsid w:val="0043090E"/>
    <w:rsid w:val="00431FD1"/>
    <w:rsid w:val="00434245"/>
    <w:rsid w:val="00434FDE"/>
    <w:rsid w:val="00443328"/>
    <w:rsid w:val="00444361"/>
    <w:rsid w:val="0045020F"/>
    <w:rsid w:val="004535F7"/>
    <w:rsid w:val="00461A1E"/>
    <w:rsid w:val="00461AB2"/>
    <w:rsid w:val="00462781"/>
    <w:rsid w:val="00462B98"/>
    <w:rsid w:val="004644EF"/>
    <w:rsid w:val="0046543D"/>
    <w:rsid w:val="004670A7"/>
    <w:rsid w:val="00470F76"/>
    <w:rsid w:val="004712B0"/>
    <w:rsid w:val="004724A3"/>
    <w:rsid w:val="0047660B"/>
    <w:rsid w:val="00480C9D"/>
    <w:rsid w:val="00481F2C"/>
    <w:rsid w:val="004827D6"/>
    <w:rsid w:val="00484178"/>
    <w:rsid w:val="00490C0E"/>
    <w:rsid w:val="0049168D"/>
    <w:rsid w:val="00493FDC"/>
    <w:rsid w:val="004A0930"/>
    <w:rsid w:val="004A37BA"/>
    <w:rsid w:val="004A3F96"/>
    <w:rsid w:val="004A431E"/>
    <w:rsid w:val="004A48FE"/>
    <w:rsid w:val="004A5E1A"/>
    <w:rsid w:val="004B052D"/>
    <w:rsid w:val="004B3074"/>
    <w:rsid w:val="004B3249"/>
    <w:rsid w:val="004B640E"/>
    <w:rsid w:val="004C234D"/>
    <w:rsid w:val="004C32D5"/>
    <w:rsid w:val="004D42CB"/>
    <w:rsid w:val="004E216F"/>
    <w:rsid w:val="004E2DB2"/>
    <w:rsid w:val="004F0C02"/>
    <w:rsid w:val="004F112D"/>
    <w:rsid w:val="004F19D3"/>
    <w:rsid w:val="004F3DEA"/>
    <w:rsid w:val="004F7002"/>
    <w:rsid w:val="00502909"/>
    <w:rsid w:val="0050366C"/>
    <w:rsid w:val="00504272"/>
    <w:rsid w:val="005100F4"/>
    <w:rsid w:val="00514201"/>
    <w:rsid w:val="00515A67"/>
    <w:rsid w:val="005175FA"/>
    <w:rsid w:val="00517E86"/>
    <w:rsid w:val="00524A93"/>
    <w:rsid w:val="0053072C"/>
    <w:rsid w:val="005309DC"/>
    <w:rsid w:val="005355E9"/>
    <w:rsid w:val="00535E2D"/>
    <w:rsid w:val="005379EB"/>
    <w:rsid w:val="005415EB"/>
    <w:rsid w:val="005418D0"/>
    <w:rsid w:val="00541C02"/>
    <w:rsid w:val="00545DD6"/>
    <w:rsid w:val="00552CF5"/>
    <w:rsid w:val="005533BD"/>
    <w:rsid w:val="00554112"/>
    <w:rsid w:val="005550FC"/>
    <w:rsid w:val="00555342"/>
    <w:rsid w:val="00555675"/>
    <w:rsid w:val="00556D17"/>
    <w:rsid w:val="00562EC9"/>
    <w:rsid w:val="005641D8"/>
    <w:rsid w:val="00567A3B"/>
    <w:rsid w:val="00567BC1"/>
    <w:rsid w:val="00573263"/>
    <w:rsid w:val="005741B8"/>
    <w:rsid w:val="005A00E0"/>
    <w:rsid w:val="005A04C9"/>
    <w:rsid w:val="005A0D28"/>
    <w:rsid w:val="005A0E4A"/>
    <w:rsid w:val="005A26DC"/>
    <w:rsid w:val="005B4129"/>
    <w:rsid w:val="005C3824"/>
    <w:rsid w:val="005D0253"/>
    <w:rsid w:val="005E35BC"/>
    <w:rsid w:val="005E7C8B"/>
    <w:rsid w:val="005F428A"/>
    <w:rsid w:val="005F4DC6"/>
    <w:rsid w:val="005F5549"/>
    <w:rsid w:val="00600759"/>
    <w:rsid w:val="00601C94"/>
    <w:rsid w:val="00602049"/>
    <w:rsid w:val="00602738"/>
    <w:rsid w:val="00603FC7"/>
    <w:rsid w:val="006053F2"/>
    <w:rsid w:val="00607F08"/>
    <w:rsid w:val="00614747"/>
    <w:rsid w:val="00620392"/>
    <w:rsid w:val="00620D03"/>
    <w:rsid w:val="00622279"/>
    <w:rsid w:val="0062763C"/>
    <w:rsid w:val="0063259A"/>
    <w:rsid w:val="00632EBE"/>
    <w:rsid w:val="006332C1"/>
    <w:rsid w:val="00634375"/>
    <w:rsid w:val="00640300"/>
    <w:rsid w:val="006479A8"/>
    <w:rsid w:val="00662788"/>
    <w:rsid w:val="006676AD"/>
    <w:rsid w:val="00667F25"/>
    <w:rsid w:val="00670CC5"/>
    <w:rsid w:val="00671065"/>
    <w:rsid w:val="006726A5"/>
    <w:rsid w:val="00681C0F"/>
    <w:rsid w:val="00681C59"/>
    <w:rsid w:val="006826B4"/>
    <w:rsid w:val="0068478C"/>
    <w:rsid w:val="006973D0"/>
    <w:rsid w:val="006A526A"/>
    <w:rsid w:val="006A56EC"/>
    <w:rsid w:val="006A6CD7"/>
    <w:rsid w:val="006A7B48"/>
    <w:rsid w:val="006A7F3F"/>
    <w:rsid w:val="006B255B"/>
    <w:rsid w:val="006B307A"/>
    <w:rsid w:val="006B3588"/>
    <w:rsid w:val="006B7945"/>
    <w:rsid w:val="006D1AE2"/>
    <w:rsid w:val="006D388A"/>
    <w:rsid w:val="006D5150"/>
    <w:rsid w:val="006D69A1"/>
    <w:rsid w:val="006D776F"/>
    <w:rsid w:val="006D7893"/>
    <w:rsid w:val="006E5C62"/>
    <w:rsid w:val="007029D9"/>
    <w:rsid w:val="00703F0B"/>
    <w:rsid w:val="00710C78"/>
    <w:rsid w:val="007137AE"/>
    <w:rsid w:val="007234E0"/>
    <w:rsid w:val="0072412B"/>
    <w:rsid w:val="00727D41"/>
    <w:rsid w:val="00731DE2"/>
    <w:rsid w:val="00740D85"/>
    <w:rsid w:val="007430C7"/>
    <w:rsid w:val="00747149"/>
    <w:rsid w:val="00750E7A"/>
    <w:rsid w:val="0076277C"/>
    <w:rsid w:val="00765661"/>
    <w:rsid w:val="00767A19"/>
    <w:rsid w:val="00770F3E"/>
    <w:rsid w:val="00776E11"/>
    <w:rsid w:val="00781E3F"/>
    <w:rsid w:val="00782487"/>
    <w:rsid w:val="00784216"/>
    <w:rsid w:val="00786A5F"/>
    <w:rsid w:val="00790C22"/>
    <w:rsid w:val="00796005"/>
    <w:rsid w:val="0079711D"/>
    <w:rsid w:val="007A5A36"/>
    <w:rsid w:val="007B15FD"/>
    <w:rsid w:val="007B19AB"/>
    <w:rsid w:val="007C1BC0"/>
    <w:rsid w:val="007D300F"/>
    <w:rsid w:val="007D6734"/>
    <w:rsid w:val="007D7AD9"/>
    <w:rsid w:val="007E0514"/>
    <w:rsid w:val="007E075D"/>
    <w:rsid w:val="007E147F"/>
    <w:rsid w:val="007E7AA0"/>
    <w:rsid w:val="007E7E55"/>
    <w:rsid w:val="007F4129"/>
    <w:rsid w:val="007F6C79"/>
    <w:rsid w:val="00805C32"/>
    <w:rsid w:val="00811936"/>
    <w:rsid w:val="00816DB9"/>
    <w:rsid w:val="00817304"/>
    <w:rsid w:val="00820BC6"/>
    <w:rsid w:val="008234EC"/>
    <w:rsid w:val="00824327"/>
    <w:rsid w:val="00825398"/>
    <w:rsid w:val="00826E4F"/>
    <w:rsid w:val="00827043"/>
    <w:rsid w:val="008314BE"/>
    <w:rsid w:val="0083289C"/>
    <w:rsid w:val="00832D03"/>
    <w:rsid w:val="00834EB4"/>
    <w:rsid w:val="00843D29"/>
    <w:rsid w:val="00844083"/>
    <w:rsid w:val="00844929"/>
    <w:rsid w:val="00845C5B"/>
    <w:rsid w:val="00845D4F"/>
    <w:rsid w:val="00846A4E"/>
    <w:rsid w:val="00850F73"/>
    <w:rsid w:val="00851C5C"/>
    <w:rsid w:val="00854ECC"/>
    <w:rsid w:val="00856447"/>
    <w:rsid w:val="00856B88"/>
    <w:rsid w:val="00871C34"/>
    <w:rsid w:val="00872C38"/>
    <w:rsid w:val="00873B6D"/>
    <w:rsid w:val="00873F37"/>
    <w:rsid w:val="00874B4E"/>
    <w:rsid w:val="00875DF0"/>
    <w:rsid w:val="008762EF"/>
    <w:rsid w:val="00880AD5"/>
    <w:rsid w:val="00883896"/>
    <w:rsid w:val="008842F4"/>
    <w:rsid w:val="00887B18"/>
    <w:rsid w:val="00887BBC"/>
    <w:rsid w:val="008A2EAC"/>
    <w:rsid w:val="008A3349"/>
    <w:rsid w:val="008B1D05"/>
    <w:rsid w:val="008B6DEA"/>
    <w:rsid w:val="008C0932"/>
    <w:rsid w:val="008C1A63"/>
    <w:rsid w:val="008C1E6C"/>
    <w:rsid w:val="008C2C11"/>
    <w:rsid w:val="008D070F"/>
    <w:rsid w:val="008E3BFA"/>
    <w:rsid w:val="008F4BCE"/>
    <w:rsid w:val="00914176"/>
    <w:rsid w:val="00914A0D"/>
    <w:rsid w:val="009166F4"/>
    <w:rsid w:val="00922055"/>
    <w:rsid w:val="009237FC"/>
    <w:rsid w:val="00924307"/>
    <w:rsid w:val="00925EA9"/>
    <w:rsid w:val="009276B3"/>
    <w:rsid w:val="00931480"/>
    <w:rsid w:val="00931A2E"/>
    <w:rsid w:val="00932F62"/>
    <w:rsid w:val="00934C72"/>
    <w:rsid w:val="009355F8"/>
    <w:rsid w:val="00936BF8"/>
    <w:rsid w:val="0094161F"/>
    <w:rsid w:val="00941981"/>
    <w:rsid w:val="009458F8"/>
    <w:rsid w:val="00954F5F"/>
    <w:rsid w:val="00957D6F"/>
    <w:rsid w:val="009603ED"/>
    <w:rsid w:val="00963570"/>
    <w:rsid w:val="00964B3A"/>
    <w:rsid w:val="00965BF3"/>
    <w:rsid w:val="00972A4C"/>
    <w:rsid w:val="0097362C"/>
    <w:rsid w:val="00974D05"/>
    <w:rsid w:val="00976AF1"/>
    <w:rsid w:val="00981244"/>
    <w:rsid w:val="00981C88"/>
    <w:rsid w:val="009906A8"/>
    <w:rsid w:val="009970BA"/>
    <w:rsid w:val="009A51DC"/>
    <w:rsid w:val="009B08ED"/>
    <w:rsid w:val="009B090E"/>
    <w:rsid w:val="009B2B9D"/>
    <w:rsid w:val="009B701F"/>
    <w:rsid w:val="009C1079"/>
    <w:rsid w:val="009C1669"/>
    <w:rsid w:val="009C25DD"/>
    <w:rsid w:val="009C30AC"/>
    <w:rsid w:val="009C3B76"/>
    <w:rsid w:val="009C6C0E"/>
    <w:rsid w:val="009D153E"/>
    <w:rsid w:val="009D1C7F"/>
    <w:rsid w:val="009E76E6"/>
    <w:rsid w:val="009F3F2A"/>
    <w:rsid w:val="009F4034"/>
    <w:rsid w:val="009F4DCB"/>
    <w:rsid w:val="009F633F"/>
    <w:rsid w:val="009F7AB4"/>
    <w:rsid w:val="009F7F99"/>
    <w:rsid w:val="00A04700"/>
    <w:rsid w:val="00A069C8"/>
    <w:rsid w:val="00A071E7"/>
    <w:rsid w:val="00A10A98"/>
    <w:rsid w:val="00A11215"/>
    <w:rsid w:val="00A165F3"/>
    <w:rsid w:val="00A1727C"/>
    <w:rsid w:val="00A2013C"/>
    <w:rsid w:val="00A22052"/>
    <w:rsid w:val="00A22E4C"/>
    <w:rsid w:val="00A26C8B"/>
    <w:rsid w:val="00A31F42"/>
    <w:rsid w:val="00A370E1"/>
    <w:rsid w:val="00A427C0"/>
    <w:rsid w:val="00A43EF6"/>
    <w:rsid w:val="00A44C2E"/>
    <w:rsid w:val="00A466AA"/>
    <w:rsid w:val="00A47C43"/>
    <w:rsid w:val="00A47D70"/>
    <w:rsid w:val="00A61AE5"/>
    <w:rsid w:val="00A6378F"/>
    <w:rsid w:val="00A64969"/>
    <w:rsid w:val="00A655B3"/>
    <w:rsid w:val="00A70658"/>
    <w:rsid w:val="00A71109"/>
    <w:rsid w:val="00A72E17"/>
    <w:rsid w:val="00A83D06"/>
    <w:rsid w:val="00A86C2C"/>
    <w:rsid w:val="00A90640"/>
    <w:rsid w:val="00A94200"/>
    <w:rsid w:val="00AA1A52"/>
    <w:rsid w:val="00AB17E7"/>
    <w:rsid w:val="00AC0FA3"/>
    <w:rsid w:val="00AC307F"/>
    <w:rsid w:val="00AC341D"/>
    <w:rsid w:val="00AC68F0"/>
    <w:rsid w:val="00AD009A"/>
    <w:rsid w:val="00AD0AA0"/>
    <w:rsid w:val="00AD33DC"/>
    <w:rsid w:val="00AE1253"/>
    <w:rsid w:val="00AE555D"/>
    <w:rsid w:val="00AF1ED1"/>
    <w:rsid w:val="00AF3A37"/>
    <w:rsid w:val="00AF3C49"/>
    <w:rsid w:val="00AF48D0"/>
    <w:rsid w:val="00B00215"/>
    <w:rsid w:val="00B0274C"/>
    <w:rsid w:val="00B02F57"/>
    <w:rsid w:val="00B06E6C"/>
    <w:rsid w:val="00B116C4"/>
    <w:rsid w:val="00B137EF"/>
    <w:rsid w:val="00B14DB5"/>
    <w:rsid w:val="00B15D55"/>
    <w:rsid w:val="00B23C7F"/>
    <w:rsid w:val="00B23E32"/>
    <w:rsid w:val="00B34189"/>
    <w:rsid w:val="00B40EF5"/>
    <w:rsid w:val="00B41175"/>
    <w:rsid w:val="00B412DE"/>
    <w:rsid w:val="00B5072D"/>
    <w:rsid w:val="00B513EA"/>
    <w:rsid w:val="00B556D3"/>
    <w:rsid w:val="00B6080F"/>
    <w:rsid w:val="00B62C63"/>
    <w:rsid w:val="00B65D25"/>
    <w:rsid w:val="00B66FE0"/>
    <w:rsid w:val="00B6717D"/>
    <w:rsid w:val="00B728DB"/>
    <w:rsid w:val="00B75118"/>
    <w:rsid w:val="00B75DCF"/>
    <w:rsid w:val="00B767CC"/>
    <w:rsid w:val="00B838F6"/>
    <w:rsid w:val="00B83E01"/>
    <w:rsid w:val="00B86B7C"/>
    <w:rsid w:val="00B87B78"/>
    <w:rsid w:val="00B91514"/>
    <w:rsid w:val="00B919AD"/>
    <w:rsid w:val="00BA55CA"/>
    <w:rsid w:val="00BA7E32"/>
    <w:rsid w:val="00BB0EFD"/>
    <w:rsid w:val="00BB1A21"/>
    <w:rsid w:val="00BB366C"/>
    <w:rsid w:val="00BB4904"/>
    <w:rsid w:val="00BB499D"/>
    <w:rsid w:val="00BB751D"/>
    <w:rsid w:val="00BB7DE5"/>
    <w:rsid w:val="00BD081A"/>
    <w:rsid w:val="00BD2FD2"/>
    <w:rsid w:val="00BD68EB"/>
    <w:rsid w:val="00BE027E"/>
    <w:rsid w:val="00BE233F"/>
    <w:rsid w:val="00C007E8"/>
    <w:rsid w:val="00C11511"/>
    <w:rsid w:val="00C15FD9"/>
    <w:rsid w:val="00C21380"/>
    <w:rsid w:val="00C22550"/>
    <w:rsid w:val="00C244D5"/>
    <w:rsid w:val="00C27AB6"/>
    <w:rsid w:val="00C31266"/>
    <w:rsid w:val="00C32A7F"/>
    <w:rsid w:val="00C33D15"/>
    <w:rsid w:val="00C344E3"/>
    <w:rsid w:val="00C34809"/>
    <w:rsid w:val="00C373C2"/>
    <w:rsid w:val="00C42F15"/>
    <w:rsid w:val="00C43528"/>
    <w:rsid w:val="00C43B1F"/>
    <w:rsid w:val="00C539A9"/>
    <w:rsid w:val="00C6016D"/>
    <w:rsid w:val="00C614B4"/>
    <w:rsid w:val="00C67964"/>
    <w:rsid w:val="00C71A43"/>
    <w:rsid w:val="00C85AC9"/>
    <w:rsid w:val="00C85ED1"/>
    <w:rsid w:val="00C906C1"/>
    <w:rsid w:val="00C94572"/>
    <w:rsid w:val="00C965D8"/>
    <w:rsid w:val="00CA56B3"/>
    <w:rsid w:val="00CA5EEA"/>
    <w:rsid w:val="00CB14E8"/>
    <w:rsid w:val="00CB1AFF"/>
    <w:rsid w:val="00CC2043"/>
    <w:rsid w:val="00CC260E"/>
    <w:rsid w:val="00CC4E06"/>
    <w:rsid w:val="00CD5895"/>
    <w:rsid w:val="00CF731C"/>
    <w:rsid w:val="00CF7A94"/>
    <w:rsid w:val="00D06F15"/>
    <w:rsid w:val="00D10B20"/>
    <w:rsid w:val="00D10E71"/>
    <w:rsid w:val="00D12C2A"/>
    <w:rsid w:val="00D1429F"/>
    <w:rsid w:val="00D17A39"/>
    <w:rsid w:val="00D23979"/>
    <w:rsid w:val="00D26E12"/>
    <w:rsid w:val="00D33D42"/>
    <w:rsid w:val="00D440F2"/>
    <w:rsid w:val="00D56AD2"/>
    <w:rsid w:val="00D75593"/>
    <w:rsid w:val="00D772BD"/>
    <w:rsid w:val="00D81370"/>
    <w:rsid w:val="00D818C0"/>
    <w:rsid w:val="00D82DE0"/>
    <w:rsid w:val="00D83894"/>
    <w:rsid w:val="00D83D80"/>
    <w:rsid w:val="00DA23FB"/>
    <w:rsid w:val="00DA5BF0"/>
    <w:rsid w:val="00DB1ADD"/>
    <w:rsid w:val="00DB50C5"/>
    <w:rsid w:val="00DB6B6D"/>
    <w:rsid w:val="00DC0D51"/>
    <w:rsid w:val="00DC4540"/>
    <w:rsid w:val="00DD3221"/>
    <w:rsid w:val="00DD4FE2"/>
    <w:rsid w:val="00DD5F0C"/>
    <w:rsid w:val="00DD6980"/>
    <w:rsid w:val="00DE0179"/>
    <w:rsid w:val="00DE183A"/>
    <w:rsid w:val="00DE44E7"/>
    <w:rsid w:val="00DE5220"/>
    <w:rsid w:val="00DE7099"/>
    <w:rsid w:val="00E0099A"/>
    <w:rsid w:val="00E020A5"/>
    <w:rsid w:val="00E02D1D"/>
    <w:rsid w:val="00E03F39"/>
    <w:rsid w:val="00E073EC"/>
    <w:rsid w:val="00E114D6"/>
    <w:rsid w:val="00E125E9"/>
    <w:rsid w:val="00E137F7"/>
    <w:rsid w:val="00E1603E"/>
    <w:rsid w:val="00E164EE"/>
    <w:rsid w:val="00E17C41"/>
    <w:rsid w:val="00E30441"/>
    <w:rsid w:val="00E304C8"/>
    <w:rsid w:val="00E30C4A"/>
    <w:rsid w:val="00E316DE"/>
    <w:rsid w:val="00E34830"/>
    <w:rsid w:val="00E3511A"/>
    <w:rsid w:val="00E410F7"/>
    <w:rsid w:val="00E418F8"/>
    <w:rsid w:val="00E42D2A"/>
    <w:rsid w:val="00E43927"/>
    <w:rsid w:val="00E461D4"/>
    <w:rsid w:val="00E464AA"/>
    <w:rsid w:val="00E51A60"/>
    <w:rsid w:val="00E54087"/>
    <w:rsid w:val="00E54EFA"/>
    <w:rsid w:val="00E5537D"/>
    <w:rsid w:val="00E57E96"/>
    <w:rsid w:val="00E62A2E"/>
    <w:rsid w:val="00E64E9A"/>
    <w:rsid w:val="00E6501D"/>
    <w:rsid w:val="00E66864"/>
    <w:rsid w:val="00E73F63"/>
    <w:rsid w:val="00E7691F"/>
    <w:rsid w:val="00E77932"/>
    <w:rsid w:val="00E8434D"/>
    <w:rsid w:val="00E8475F"/>
    <w:rsid w:val="00E850EA"/>
    <w:rsid w:val="00E8586C"/>
    <w:rsid w:val="00E8680A"/>
    <w:rsid w:val="00E93120"/>
    <w:rsid w:val="00E944C8"/>
    <w:rsid w:val="00E94CB0"/>
    <w:rsid w:val="00EA08B1"/>
    <w:rsid w:val="00EA5806"/>
    <w:rsid w:val="00EB2823"/>
    <w:rsid w:val="00EB325E"/>
    <w:rsid w:val="00EB3D59"/>
    <w:rsid w:val="00EB64B2"/>
    <w:rsid w:val="00EC3311"/>
    <w:rsid w:val="00ED083C"/>
    <w:rsid w:val="00ED21F6"/>
    <w:rsid w:val="00ED2C37"/>
    <w:rsid w:val="00EE48EC"/>
    <w:rsid w:val="00EE6E44"/>
    <w:rsid w:val="00EF3E98"/>
    <w:rsid w:val="00EF3E9F"/>
    <w:rsid w:val="00EF4C82"/>
    <w:rsid w:val="00EF4D2A"/>
    <w:rsid w:val="00F02A38"/>
    <w:rsid w:val="00F02C58"/>
    <w:rsid w:val="00F03A09"/>
    <w:rsid w:val="00F108D1"/>
    <w:rsid w:val="00F145EE"/>
    <w:rsid w:val="00F21B6A"/>
    <w:rsid w:val="00F23BA0"/>
    <w:rsid w:val="00F27AF2"/>
    <w:rsid w:val="00F31A58"/>
    <w:rsid w:val="00F3664D"/>
    <w:rsid w:val="00F37B49"/>
    <w:rsid w:val="00F52E66"/>
    <w:rsid w:val="00F5309A"/>
    <w:rsid w:val="00F601E6"/>
    <w:rsid w:val="00F612C8"/>
    <w:rsid w:val="00F617ED"/>
    <w:rsid w:val="00F7156E"/>
    <w:rsid w:val="00F7421D"/>
    <w:rsid w:val="00F77548"/>
    <w:rsid w:val="00F84E51"/>
    <w:rsid w:val="00F85704"/>
    <w:rsid w:val="00F904F4"/>
    <w:rsid w:val="00F927C8"/>
    <w:rsid w:val="00F92F1F"/>
    <w:rsid w:val="00F92FE7"/>
    <w:rsid w:val="00F9484D"/>
    <w:rsid w:val="00F95197"/>
    <w:rsid w:val="00FA74D1"/>
    <w:rsid w:val="00FB40BC"/>
    <w:rsid w:val="00FB5243"/>
    <w:rsid w:val="00FB576D"/>
    <w:rsid w:val="00FB61E8"/>
    <w:rsid w:val="00FB6722"/>
    <w:rsid w:val="00FB6BEA"/>
    <w:rsid w:val="00FB6D2C"/>
    <w:rsid w:val="00FB7761"/>
    <w:rsid w:val="00FC1B63"/>
    <w:rsid w:val="00FC20BD"/>
    <w:rsid w:val="00FC5C38"/>
    <w:rsid w:val="00FE0934"/>
    <w:rsid w:val="00FE233E"/>
    <w:rsid w:val="00FE73A4"/>
    <w:rsid w:val="00FE79AE"/>
    <w:rsid w:val="00FF225E"/>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6CE3F"/>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6F1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56F1E"/>
    <w:rPr>
      <w:rFonts w:ascii="Tahoma" w:hAnsi="Tahoma" w:cs="Tahoma"/>
      <w:sz w:val="16"/>
      <w:szCs w:val="16"/>
    </w:rPr>
  </w:style>
  <w:style w:type="paragraph" w:styleId="a4">
    <w:name w:val="Body Text"/>
    <w:basedOn w:val="a"/>
    <w:link w:val="Char0"/>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Char0">
    <w:name w:val="Σώμα κειμένου Char"/>
    <w:basedOn w:val="a0"/>
    <w:link w:val="a4"/>
    <w:uiPriority w:val="1"/>
    <w:rsid w:val="00F7156E"/>
    <w:rPr>
      <w:rFonts w:ascii="Arial" w:eastAsia="Arial" w:hAnsi="Arial" w:cs="Arial"/>
      <w:sz w:val="19"/>
      <w:szCs w:val="19"/>
      <w:lang w:val="en-US"/>
    </w:rPr>
  </w:style>
  <w:style w:type="paragraph" w:styleId="a5">
    <w:name w:val="header"/>
    <w:basedOn w:val="a"/>
    <w:link w:val="Char1"/>
    <w:uiPriority w:val="99"/>
    <w:unhideWhenUsed/>
    <w:rsid w:val="002453D6"/>
    <w:pPr>
      <w:tabs>
        <w:tab w:val="center" w:pos="4153"/>
        <w:tab w:val="right" w:pos="8306"/>
      </w:tabs>
      <w:spacing w:after="0" w:line="240" w:lineRule="auto"/>
    </w:pPr>
  </w:style>
  <w:style w:type="character" w:customStyle="1" w:styleId="Char1">
    <w:name w:val="Κεφαλίδα Char"/>
    <w:basedOn w:val="a0"/>
    <w:link w:val="a5"/>
    <w:uiPriority w:val="99"/>
    <w:rsid w:val="002453D6"/>
  </w:style>
  <w:style w:type="paragraph" w:styleId="a6">
    <w:name w:val="footer"/>
    <w:basedOn w:val="a"/>
    <w:link w:val="Char2"/>
    <w:uiPriority w:val="99"/>
    <w:unhideWhenUsed/>
    <w:rsid w:val="002453D6"/>
    <w:pPr>
      <w:tabs>
        <w:tab w:val="center" w:pos="4153"/>
        <w:tab w:val="right" w:pos="8306"/>
      </w:tabs>
      <w:spacing w:after="0" w:line="240" w:lineRule="auto"/>
    </w:pPr>
  </w:style>
  <w:style w:type="character" w:customStyle="1" w:styleId="Char2">
    <w:name w:val="Υποσέλιδο Char"/>
    <w:basedOn w:val="a0"/>
    <w:link w:val="a6"/>
    <w:uiPriority w:val="99"/>
    <w:rsid w:val="002453D6"/>
  </w:style>
  <w:style w:type="table" w:styleId="a7">
    <w:name w:val="Table Grid"/>
    <w:basedOn w:val="a1"/>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1"/>
    <w:rsid w:val="00FE233E"/>
    <w:rPr>
      <w:rFonts w:ascii="Arial" w:eastAsiaTheme="minorEastAsia" w:hAnsi="Arial" w:cs="Arial"/>
      <w:b/>
      <w:bCs/>
      <w:sz w:val="24"/>
      <w:szCs w:val="24"/>
      <w:lang w:eastAsia="el-GR"/>
    </w:rPr>
  </w:style>
  <w:style w:type="paragraph" w:customStyle="1" w:styleId="TableParagraph">
    <w:name w:val="Table Paragraph"/>
    <w:basedOn w:val="a"/>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List Paragraph"/>
    <w:basedOn w:val="a"/>
    <w:uiPriority w:val="34"/>
    <w:qFormat/>
    <w:rsid w:val="000C4634"/>
    <w:pPr>
      <w:ind w:left="720"/>
      <w:contextualSpacing/>
    </w:pPr>
    <w:rPr>
      <w:rFonts w:ascii="Arial" w:eastAsia="Calibri" w:hAnsi="Arial" w:cs="Times New Roman"/>
    </w:rPr>
  </w:style>
  <w:style w:type="paragraph" w:styleId="a9">
    <w:name w:val="endnote text"/>
    <w:basedOn w:val="a"/>
    <w:link w:val="Char3"/>
    <w:uiPriority w:val="99"/>
    <w:unhideWhenUsed/>
    <w:rsid w:val="000C753C"/>
    <w:rPr>
      <w:rFonts w:ascii="Calibri" w:eastAsia="Calibri" w:hAnsi="Calibri" w:cs="Times New Roman"/>
      <w:sz w:val="20"/>
      <w:szCs w:val="20"/>
    </w:rPr>
  </w:style>
  <w:style w:type="character" w:customStyle="1" w:styleId="Char3">
    <w:name w:val="Κείμενο σημείωσης τέλους Char"/>
    <w:basedOn w:val="a0"/>
    <w:link w:val="a9"/>
    <w:uiPriority w:val="99"/>
    <w:rsid w:val="000C753C"/>
    <w:rPr>
      <w:rFonts w:ascii="Calibri" w:eastAsia="Calibri" w:hAnsi="Calibri" w:cs="Times New Roman"/>
      <w:sz w:val="20"/>
      <w:szCs w:val="20"/>
    </w:rPr>
  </w:style>
  <w:style w:type="character" w:styleId="aa">
    <w:name w:val="endnote reference"/>
    <w:uiPriority w:val="99"/>
    <w:semiHidden/>
    <w:unhideWhenUsed/>
    <w:rsid w:val="000C753C"/>
    <w:rPr>
      <w:vertAlign w:val="superscript"/>
    </w:rPr>
  </w:style>
  <w:style w:type="paragraph" w:styleId="ab">
    <w:name w:val="footnote text"/>
    <w:basedOn w:val="a"/>
    <w:link w:val="Char4"/>
    <w:uiPriority w:val="99"/>
    <w:rsid w:val="000C753C"/>
    <w:pPr>
      <w:spacing w:after="0" w:line="240" w:lineRule="auto"/>
    </w:pPr>
    <w:rPr>
      <w:rFonts w:ascii="Times New Roman" w:eastAsia="Times New Roman" w:hAnsi="Times New Roman" w:cs="Times New Roman"/>
      <w:sz w:val="20"/>
      <w:szCs w:val="20"/>
    </w:rPr>
  </w:style>
  <w:style w:type="character" w:customStyle="1" w:styleId="Char4">
    <w:name w:val="Κείμενο υποσημείωσης Char"/>
    <w:basedOn w:val="a0"/>
    <w:link w:val="ab"/>
    <w:uiPriority w:val="99"/>
    <w:rsid w:val="000C753C"/>
    <w:rPr>
      <w:rFonts w:ascii="Times New Roman" w:eastAsia="Times New Roman" w:hAnsi="Times New Roman" w:cs="Times New Roman"/>
      <w:sz w:val="20"/>
      <w:szCs w:val="20"/>
    </w:rPr>
  </w:style>
  <w:style w:type="character" w:styleId="ac">
    <w:name w:val="footnote reference"/>
    <w:uiPriority w:val="99"/>
    <w:rsid w:val="000C753C"/>
    <w:rPr>
      <w:rFonts w:ascii="Arial" w:eastAsia="Arial Unicode MS" w:hAnsi="Arial" w:cs="Arial"/>
      <w:vertAlign w:val="superscript"/>
    </w:rPr>
  </w:style>
  <w:style w:type="character" w:styleId="-">
    <w:name w:val="Hyperlink"/>
    <w:basedOn w:val="a0"/>
    <w:uiPriority w:val="99"/>
    <w:unhideWhenUsed/>
    <w:rsid w:val="00316BC8"/>
    <w:rPr>
      <w:color w:val="0563C1" w:themeColor="hyperlink"/>
      <w:u w:val="single"/>
    </w:rPr>
  </w:style>
  <w:style w:type="character" w:styleId="ad">
    <w:name w:val="annotation reference"/>
    <w:basedOn w:val="a0"/>
    <w:uiPriority w:val="99"/>
    <w:semiHidden/>
    <w:unhideWhenUsed/>
    <w:rsid w:val="00182920"/>
    <w:rPr>
      <w:sz w:val="16"/>
      <w:szCs w:val="16"/>
    </w:rPr>
  </w:style>
  <w:style w:type="paragraph" w:styleId="ae">
    <w:name w:val="annotation text"/>
    <w:basedOn w:val="a"/>
    <w:link w:val="Char5"/>
    <w:uiPriority w:val="99"/>
    <w:semiHidden/>
    <w:unhideWhenUsed/>
    <w:rsid w:val="00182920"/>
    <w:pPr>
      <w:spacing w:line="240" w:lineRule="auto"/>
    </w:pPr>
    <w:rPr>
      <w:sz w:val="20"/>
      <w:szCs w:val="20"/>
    </w:rPr>
  </w:style>
  <w:style w:type="character" w:customStyle="1" w:styleId="Char5">
    <w:name w:val="Κείμενο σχολίου Char"/>
    <w:basedOn w:val="a0"/>
    <w:link w:val="ae"/>
    <w:uiPriority w:val="99"/>
    <w:semiHidden/>
    <w:rsid w:val="00182920"/>
    <w:rPr>
      <w:sz w:val="20"/>
      <w:szCs w:val="20"/>
    </w:rPr>
  </w:style>
  <w:style w:type="paragraph" w:styleId="af">
    <w:name w:val="annotation subject"/>
    <w:basedOn w:val="ae"/>
    <w:next w:val="ae"/>
    <w:link w:val="Char6"/>
    <w:uiPriority w:val="99"/>
    <w:semiHidden/>
    <w:unhideWhenUsed/>
    <w:rsid w:val="00182920"/>
    <w:rPr>
      <w:b/>
      <w:bCs/>
    </w:rPr>
  </w:style>
  <w:style w:type="character" w:customStyle="1" w:styleId="Char6">
    <w:name w:val="Θέμα σχολίου Char"/>
    <w:basedOn w:val="Char5"/>
    <w:link w:val="af"/>
    <w:uiPriority w:val="99"/>
    <w:semiHidden/>
    <w:rsid w:val="00182920"/>
    <w:rPr>
      <w:b/>
      <w:bCs/>
      <w:sz w:val="20"/>
      <w:szCs w:val="20"/>
    </w:rPr>
  </w:style>
  <w:style w:type="paragraph" w:styleId="af0">
    <w:name w:val="Revision"/>
    <w:hidden/>
    <w:uiPriority w:val="99"/>
    <w:semiHidden/>
    <w:rsid w:val="00C31266"/>
    <w:pPr>
      <w:spacing w:after="0" w:line="240" w:lineRule="auto"/>
    </w:pPr>
  </w:style>
  <w:style w:type="character" w:styleId="-0">
    <w:name w:val="FollowedHyperlink"/>
    <w:basedOn w:val="a0"/>
    <w:uiPriority w:val="99"/>
    <w:semiHidden/>
    <w:unhideWhenUsed/>
    <w:rsid w:val="00EB3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8.jpeg"/><Relationship Id="rId39" Type="http://schemas.openxmlformats.org/officeDocument/2006/relationships/image" Target="media/image160.wmf"/><Relationship Id="rId3" Type="http://schemas.openxmlformats.org/officeDocument/2006/relationships/customXml" Target="../customXml/item3.xml"/><Relationship Id="rId21" Type="http://schemas.openxmlformats.org/officeDocument/2006/relationships/hyperlink" Target="https://www.alpha.gr/-/media/alphagr/files/group/agores/weekly-economic-report/2021/weekly_12052021.pdf" TargetMode="External"/><Relationship Id="rId34" Type="http://schemas.openxmlformats.org/officeDocument/2006/relationships/image" Target="media/image14.wmf"/><Relationship Id="rId42" Type="http://schemas.openxmlformats.org/officeDocument/2006/relationships/image" Target="media/image180.wmf"/><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4.emf"/><Relationship Id="rId25" Type="http://schemas.openxmlformats.org/officeDocument/2006/relationships/image" Target="media/image70.wmf"/><Relationship Id="rId33" Type="http://schemas.openxmlformats.org/officeDocument/2006/relationships/image" Target="media/image13.jpeg"/><Relationship Id="rId38" Type="http://schemas.openxmlformats.org/officeDocument/2006/relationships/image" Target="media/image16.wmf"/><Relationship Id="rId46" Type="http://schemas.openxmlformats.org/officeDocument/2006/relationships/image" Target="media/image21.emf"/><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image" Target="media/image50.wmf"/><Relationship Id="rId29" Type="http://schemas.openxmlformats.org/officeDocument/2006/relationships/image" Target="media/image100.e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0.emf"/><Relationship Id="rId32" Type="http://schemas.openxmlformats.org/officeDocument/2006/relationships/image" Target="media/image120.wmf"/><Relationship Id="rId37" Type="http://schemas.openxmlformats.org/officeDocument/2006/relationships/image" Target="media/image150.wmf"/><Relationship Id="rId40" Type="http://schemas.openxmlformats.org/officeDocument/2006/relationships/image" Target="media/image17.jpeg"/><Relationship Id="rId45" Type="http://schemas.openxmlformats.org/officeDocument/2006/relationships/image" Target="media/image20.emf"/><Relationship Id="rId5" Type="http://schemas.openxmlformats.org/officeDocument/2006/relationships/customXml" Target="../customXml/item5.xml"/><Relationship Id="rId15" Type="http://schemas.openxmlformats.org/officeDocument/2006/relationships/image" Target="media/image22.emf"/><Relationship Id="rId23" Type="http://schemas.openxmlformats.org/officeDocument/2006/relationships/image" Target="media/image7.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0.emf"/><Relationship Id="rId31" Type="http://schemas.openxmlformats.org/officeDocument/2006/relationships/image" Target="media/image12.wmf"/><Relationship Id="rId44" Type="http://schemas.openxmlformats.org/officeDocument/2006/relationships/image" Target="media/image190.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6.emf"/><Relationship Id="rId27" Type="http://schemas.openxmlformats.org/officeDocument/2006/relationships/image" Target="media/image10.emf"/><Relationship Id="rId30" Type="http://schemas.openxmlformats.org/officeDocument/2006/relationships/image" Target="media/image110.wmf"/><Relationship Id="rId35" Type="http://schemas.openxmlformats.org/officeDocument/2006/relationships/image" Target="media/image140.w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25.png"/><Relationship Id="rId7" Type="http://schemas.openxmlformats.org/officeDocument/2006/relationships/image" Target="media/image29.png"/><Relationship Id="rId2" Type="http://schemas.openxmlformats.org/officeDocument/2006/relationships/image" Target="media/image24.png"/><Relationship Id="rId1" Type="http://schemas.openxmlformats.org/officeDocument/2006/relationships/image" Target="media/image23.png"/><Relationship Id="rId6" Type="http://schemas.openxmlformats.org/officeDocument/2006/relationships/image" Target="media/image28.png"/><Relationship Id="rId5" Type="http://schemas.openxmlformats.org/officeDocument/2006/relationships/image" Target="media/image27.png"/><Relationship Id="rId10" Type="http://schemas.openxmlformats.org/officeDocument/2006/relationships/image" Target="media/image32.png"/><Relationship Id="rId4" Type="http://schemas.openxmlformats.org/officeDocument/2006/relationships/image" Target="media/image26.png"/><Relationship Id="rId9"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F8630D-E9D9-498A-9A31-9813250E1CD7}">
  <ds:schemaRefs>
    <ds:schemaRef ds:uri="http://schemas.openxmlformats.org/officeDocument/2006/bibliography"/>
  </ds:schemaRefs>
</ds:datastoreItem>
</file>

<file path=customXml/itemProps3.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255AAC-F39D-4FAE-8953-FEB5B7AC2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5365</Words>
  <Characters>28976</Characters>
  <Application>Microsoft Office Word</Application>
  <DocSecurity>0</DocSecurity>
  <Lines>241</Lines>
  <Paragraphs>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User</cp:lastModifiedBy>
  <cp:revision>2</cp:revision>
  <cp:lastPrinted>2021-05-19T07:44:00Z</cp:lastPrinted>
  <dcterms:created xsi:type="dcterms:W3CDTF">2021-05-20T15:08:00Z</dcterms:created>
  <dcterms:modified xsi:type="dcterms:W3CDTF">2021-05-20T15:08:00Z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ies>
</file>